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39" w:rsidRPr="006026D2" w:rsidRDefault="00821639" w:rsidP="00F5718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26D2">
        <w:rPr>
          <w:rFonts w:ascii="Arial" w:hAnsi="Arial" w:cs="Arial"/>
          <w:b/>
          <w:sz w:val="20"/>
          <w:szCs w:val="20"/>
        </w:rPr>
        <w:t>PRORAČUNSKI KORISNIK : 24024003 MUZEJ SUVREMENE UMJETNOSTI</w:t>
      </w:r>
      <w:r w:rsidR="00FA3907" w:rsidRPr="006026D2">
        <w:rPr>
          <w:rFonts w:ascii="Arial" w:hAnsi="Arial" w:cs="Arial"/>
          <w:b/>
          <w:sz w:val="20"/>
          <w:szCs w:val="20"/>
        </w:rPr>
        <w:t xml:space="preserve"> </w:t>
      </w:r>
    </w:p>
    <w:p w:rsidR="00821639" w:rsidRPr="00CB04B1" w:rsidRDefault="00821639" w:rsidP="00F571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4B1">
        <w:rPr>
          <w:rFonts w:ascii="Arial" w:hAnsi="Arial" w:cs="Arial"/>
          <w:sz w:val="20"/>
          <w:szCs w:val="20"/>
        </w:rPr>
        <w:t>Avenija Dubrovnik  17</w:t>
      </w:r>
    </w:p>
    <w:p w:rsidR="00821639" w:rsidRPr="00CB04B1" w:rsidRDefault="00821639" w:rsidP="00F571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4B1">
        <w:rPr>
          <w:rFonts w:ascii="Arial" w:hAnsi="Arial" w:cs="Arial"/>
          <w:sz w:val="20"/>
          <w:szCs w:val="20"/>
        </w:rPr>
        <w:t>10 010 ZAGREB</w:t>
      </w:r>
    </w:p>
    <w:p w:rsidR="00821639" w:rsidRPr="00CB04B1" w:rsidRDefault="00821639" w:rsidP="00F571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4B1">
        <w:rPr>
          <w:rFonts w:ascii="Arial" w:hAnsi="Arial" w:cs="Arial"/>
          <w:sz w:val="20"/>
          <w:szCs w:val="20"/>
        </w:rPr>
        <w:t>MB:03205223</w:t>
      </w:r>
    </w:p>
    <w:p w:rsidR="00821639" w:rsidRPr="00CB04B1" w:rsidRDefault="00821639" w:rsidP="00F571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4B1">
        <w:rPr>
          <w:rFonts w:ascii="Arial" w:hAnsi="Arial" w:cs="Arial"/>
          <w:sz w:val="20"/>
          <w:szCs w:val="20"/>
        </w:rPr>
        <w:t>OIB:78352024822</w:t>
      </w:r>
    </w:p>
    <w:p w:rsidR="00821639" w:rsidRPr="00CB04B1" w:rsidRDefault="006026D2" w:rsidP="00F5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RKP:25030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21639" w:rsidRPr="00CB04B1" w:rsidRDefault="00821639" w:rsidP="00F5718F">
      <w:pPr>
        <w:jc w:val="both"/>
        <w:rPr>
          <w:rFonts w:ascii="Arial" w:hAnsi="Arial" w:cs="Arial"/>
          <w:sz w:val="20"/>
          <w:szCs w:val="20"/>
        </w:rPr>
      </w:pPr>
      <w:r w:rsidRPr="00CB04B1">
        <w:rPr>
          <w:rFonts w:ascii="Arial" w:hAnsi="Arial" w:cs="Arial"/>
          <w:sz w:val="20"/>
          <w:szCs w:val="20"/>
        </w:rPr>
        <w:t>Razina:</w:t>
      </w:r>
      <w:r w:rsidR="00564FD8">
        <w:rPr>
          <w:rFonts w:ascii="Arial" w:hAnsi="Arial" w:cs="Arial"/>
          <w:sz w:val="20"/>
          <w:szCs w:val="20"/>
        </w:rPr>
        <w:t xml:space="preserve"> </w:t>
      </w:r>
      <w:r w:rsidRPr="00CB04B1">
        <w:rPr>
          <w:rFonts w:ascii="Arial" w:hAnsi="Arial" w:cs="Arial"/>
          <w:sz w:val="20"/>
          <w:szCs w:val="20"/>
        </w:rPr>
        <w:t>21</w:t>
      </w:r>
      <w:r w:rsidR="006026D2">
        <w:rPr>
          <w:rFonts w:ascii="Arial" w:hAnsi="Arial" w:cs="Arial"/>
          <w:sz w:val="20"/>
          <w:szCs w:val="20"/>
        </w:rPr>
        <w:tab/>
      </w:r>
      <w:r w:rsidR="006026D2">
        <w:rPr>
          <w:rFonts w:ascii="Arial" w:hAnsi="Arial" w:cs="Arial"/>
          <w:sz w:val="20"/>
          <w:szCs w:val="20"/>
        </w:rPr>
        <w:tab/>
      </w:r>
      <w:r w:rsidR="006026D2">
        <w:rPr>
          <w:rFonts w:ascii="Arial" w:hAnsi="Arial" w:cs="Arial"/>
          <w:sz w:val="20"/>
          <w:szCs w:val="20"/>
        </w:rPr>
        <w:tab/>
      </w:r>
      <w:r w:rsidR="006026D2">
        <w:rPr>
          <w:rFonts w:ascii="Arial" w:hAnsi="Arial" w:cs="Arial"/>
          <w:sz w:val="20"/>
          <w:szCs w:val="20"/>
        </w:rPr>
        <w:tab/>
      </w:r>
      <w:r w:rsidR="006026D2">
        <w:rPr>
          <w:rFonts w:ascii="Arial" w:hAnsi="Arial" w:cs="Arial"/>
          <w:sz w:val="20"/>
          <w:szCs w:val="20"/>
        </w:rPr>
        <w:tab/>
      </w:r>
      <w:r w:rsidR="006026D2">
        <w:rPr>
          <w:rFonts w:ascii="Arial" w:hAnsi="Arial" w:cs="Arial"/>
          <w:sz w:val="20"/>
          <w:szCs w:val="20"/>
        </w:rPr>
        <w:tab/>
      </w:r>
      <w:r w:rsidR="006026D2">
        <w:rPr>
          <w:rFonts w:ascii="Arial" w:hAnsi="Arial" w:cs="Arial"/>
          <w:sz w:val="20"/>
          <w:szCs w:val="20"/>
        </w:rPr>
        <w:tab/>
      </w:r>
      <w:r w:rsidR="006026D2">
        <w:rPr>
          <w:rFonts w:ascii="Arial" w:hAnsi="Arial" w:cs="Arial"/>
          <w:sz w:val="20"/>
          <w:szCs w:val="20"/>
        </w:rPr>
        <w:tab/>
      </w:r>
      <w:r w:rsidR="006026D2">
        <w:rPr>
          <w:rFonts w:ascii="Arial" w:hAnsi="Arial" w:cs="Arial"/>
          <w:sz w:val="20"/>
          <w:szCs w:val="20"/>
        </w:rPr>
        <w:tab/>
        <w:t>Zagreb, 31.12.2024.</w:t>
      </w:r>
    </w:p>
    <w:p w:rsidR="00FE13C7" w:rsidRPr="00CB04B1" w:rsidRDefault="00B641DC" w:rsidP="00F5718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BILJEŠKE UZ </w:t>
      </w:r>
      <w:r w:rsidR="00FE13C7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FINANCIJSK</w:t>
      </w:r>
      <w:r w:rsidR="00FA3907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E</w:t>
      </w:r>
      <w:r w:rsidR="00FE13C7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IZVJEŠTAJ</w:t>
      </w:r>
      <w:r w:rsidR="00FA3907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E</w:t>
      </w:r>
      <w:r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</w:p>
    <w:p w:rsidR="00B641DC" w:rsidRPr="00CB04B1" w:rsidRDefault="00B641DC" w:rsidP="00F5718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ZA RAZDOBLJE od 1. siječnja do </w:t>
      </w:r>
      <w:r w:rsidR="00FE13C7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31</w:t>
      </w:r>
      <w:r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. </w:t>
      </w:r>
      <w:r w:rsidR="00FE13C7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prosinca </w:t>
      </w:r>
      <w:r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202</w:t>
      </w:r>
      <w:r w:rsidR="00B55772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. godine</w:t>
      </w:r>
    </w:p>
    <w:p w:rsidR="00874987" w:rsidRPr="00CB04B1" w:rsidRDefault="00874987" w:rsidP="00F5718F">
      <w:pPr>
        <w:spacing w:after="0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DB124D" w:rsidRPr="00CB04B1" w:rsidRDefault="00DB124D" w:rsidP="00F5718F">
      <w:pPr>
        <w:spacing w:after="0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>Financijski izvještaji sastavljeni su sukladno odredbama Zakona o proračunu, Pravilnika o proračunskom računovodstvu i računskom planu i Pravilnika o financijskom izvještavanju u proračunskom računovodstvu.</w:t>
      </w:r>
    </w:p>
    <w:p w:rsidR="0058107A" w:rsidRPr="00CB04B1" w:rsidRDefault="0058107A" w:rsidP="00F5718F">
      <w:pPr>
        <w:jc w:val="both"/>
        <w:rPr>
          <w:rFonts w:ascii="Arial" w:hAnsi="Arial" w:cs="Arial"/>
          <w:sz w:val="20"/>
          <w:szCs w:val="20"/>
        </w:rPr>
      </w:pPr>
    </w:p>
    <w:p w:rsidR="00B641DC" w:rsidRPr="00CB04B1" w:rsidRDefault="00DB124D" w:rsidP="00F5718F">
      <w:pPr>
        <w:rPr>
          <w:rFonts w:ascii="Arial" w:hAnsi="Arial" w:cs="Arial"/>
          <w:b/>
          <w:sz w:val="20"/>
          <w:szCs w:val="20"/>
          <w:u w:val="single"/>
        </w:rPr>
      </w:pPr>
      <w:r w:rsidRPr="00CB04B1">
        <w:rPr>
          <w:rFonts w:ascii="Arial" w:hAnsi="Arial" w:cs="Arial"/>
          <w:b/>
          <w:sz w:val="20"/>
          <w:szCs w:val="20"/>
          <w:u w:val="single"/>
        </w:rPr>
        <w:t xml:space="preserve">Bilješke uz </w:t>
      </w:r>
      <w:r w:rsidR="00B641DC" w:rsidRPr="00CB04B1">
        <w:rPr>
          <w:rFonts w:ascii="Arial" w:hAnsi="Arial" w:cs="Arial"/>
          <w:b/>
          <w:sz w:val="20"/>
          <w:szCs w:val="20"/>
          <w:u w:val="single"/>
        </w:rPr>
        <w:t xml:space="preserve">PR-RAS </w:t>
      </w:r>
      <w:r w:rsidRPr="00CB04B1">
        <w:rPr>
          <w:rFonts w:ascii="Arial" w:hAnsi="Arial" w:cs="Arial"/>
          <w:b/>
          <w:sz w:val="20"/>
          <w:szCs w:val="20"/>
          <w:u w:val="single"/>
        </w:rPr>
        <w:t>obrazac</w:t>
      </w:r>
    </w:p>
    <w:p w:rsidR="00B641DC" w:rsidRPr="00CB04B1" w:rsidRDefault="00B641DC" w:rsidP="00F5718F">
      <w:pPr>
        <w:rPr>
          <w:rFonts w:ascii="Arial" w:hAnsi="Arial" w:cs="Arial"/>
          <w:b/>
          <w:sz w:val="20"/>
          <w:szCs w:val="20"/>
        </w:rPr>
      </w:pPr>
      <w:r w:rsidRPr="00CB04B1">
        <w:rPr>
          <w:rFonts w:ascii="Arial" w:hAnsi="Arial" w:cs="Arial"/>
          <w:b/>
          <w:sz w:val="20"/>
          <w:szCs w:val="20"/>
        </w:rPr>
        <w:t>PRIHODI</w:t>
      </w:r>
    </w:p>
    <w:p w:rsidR="003A1134" w:rsidRPr="00CB04B1" w:rsidRDefault="00525581" w:rsidP="00F5718F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Prema </w:t>
      </w:r>
      <w:r w:rsidR="003A1134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bruto 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bilanci i podacima obrasca PR-RA</w:t>
      </w:r>
      <w:r w:rsidR="00424CA1" w:rsidRPr="00CB04B1">
        <w:rPr>
          <w:rFonts w:ascii="Arial" w:eastAsia="Times New Roman" w:hAnsi="Arial" w:cs="Arial"/>
          <w:sz w:val="20"/>
          <w:szCs w:val="20"/>
          <w:lang w:eastAsia="hr-HR"/>
        </w:rPr>
        <w:t>S</w:t>
      </w:r>
      <w:r w:rsidR="00FA3907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u izvještajnom razdoblju ostvar</w:t>
      </w:r>
      <w:r w:rsidR="00FA3907" w:rsidRPr="00CB04B1">
        <w:rPr>
          <w:rFonts w:ascii="Arial" w:eastAsia="Times New Roman" w:hAnsi="Arial" w:cs="Arial"/>
          <w:sz w:val="20"/>
          <w:szCs w:val="20"/>
          <w:lang w:eastAsia="hr-HR"/>
        </w:rPr>
        <w:t>eni su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ukupn</w:t>
      </w:r>
      <w:r w:rsidR="00FA3907" w:rsidRPr="00CB04B1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prihod</w:t>
      </w:r>
      <w:r w:rsidR="00FA3907" w:rsidRPr="00CB04B1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 iznosu od </w:t>
      </w:r>
      <w:r w:rsidR="006026D2" w:rsidRPr="006026D2">
        <w:rPr>
          <w:rFonts w:ascii="Arial" w:eastAsia="Times New Roman" w:hAnsi="Arial" w:cs="Arial"/>
          <w:b/>
          <w:sz w:val="20"/>
          <w:szCs w:val="20"/>
          <w:lang w:eastAsia="hr-HR"/>
        </w:rPr>
        <w:t>4.514.093.72</w:t>
      </w:r>
      <w:r w:rsidR="00FA3907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D30CF9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EUR</w:t>
      </w:r>
      <w:r w:rsidR="00D30CF9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A110D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što je </w:t>
      </w:r>
      <w:r w:rsidR="006026D2">
        <w:rPr>
          <w:rFonts w:ascii="Arial" w:eastAsia="Times New Roman" w:hAnsi="Arial" w:cs="Arial"/>
          <w:sz w:val="20"/>
          <w:szCs w:val="20"/>
          <w:lang w:eastAsia="hr-HR"/>
        </w:rPr>
        <w:t>na razini od 80% od</w:t>
      </w:r>
      <w:r w:rsidR="008A110D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30CF9" w:rsidRPr="00CB04B1">
        <w:rPr>
          <w:rFonts w:ascii="Arial" w:eastAsia="Times New Roman" w:hAnsi="Arial" w:cs="Arial"/>
          <w:sz w:val="20"/>
          <w:szCs w:val="20"/>
          <w:lang w:eastAsia="hr-HR"/>
        </w:rPr>
        <w:t>ostvaren</w:t>
      </w:r>
      <w:r w:rsidR="009756EF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ih prihoda u </w:t>
      </w:r>
      <w:r w:rsidR="008A110D" w:rsidRPr="00CB04B1">
        <w:rPr>
          <w:rFonts w:ascii="Arial" w:eastAsia="Times New Roman" w:hAnsi="Arial" w:cs="Arial"/>
          <w:sz w:val="20"/>
          <w:szCs w:val="20"/>
          <w:lang w:eastAsia="hr-HR"/>
        </w:rPr>
        <w:t>izvještajnom razdoblju prethodne godine</w:t>
      </w:r>
      <w:r w:rsidR="00D30CF9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E41155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Navedeni </w:t>
      </w:r>
      <w:r w:rsidR="00B810B5" w:rsidRPr="00CB04B1">
        <w:rPr>
          <w:rFonts w:ascii="Arial" w:eastAsia="Times New Roman" w:hAnsi="Arial" w:cs="Arial"/>
          <w:sz w:val="20"/>
          <w:szCs w:val="20"/>
          <w:lang w:eastAsia="hr-HR"/>
        </w:rPr>
        <w:t>iznos</w:t>
      </w:r>
      <w:r w:rsidR="00E41155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se dijel</w:t>
      </w:r>
      <w:r w:rsidR="00B810B5" w:rsidRPr="00CB04B1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E41155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na</w:t>
      </w:r>
      <w:r w:rsidR="00B810B5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E41155" w:rsidRPr="00CB04B1">
        <w:rPr>
          <w:rFonts w:ascii="Arial" w:eastAsia="Times New Roman" w:hAnsi="Arial" w:cs="Arial"/>
          <w:sz w:val="20"/>
          <w:szCs w:val="20"/>
          <w:lang w:eastAsia="hr-HR"/>
        </w:rPr>
        <w:t>prihode:</w:t>
      </w:r>
    </w:p>
    <w:p w:rsidR="00F45D0D" w:rsidRPr="00CB04B1" w:rsidRDefault="00F45D0D" w:rsidP="00F5718F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E41155" w:rsidRPr="008B1BF9" w:rsidRDefault="00E41155" w:rsidP="00F5718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>o</w:t>
      </w:r>
      <w:r w:rsidR="0052558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d </w:t>
      </w:r>
      <w:r w:rsidR="00525581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Gradskog ureda za kulturu</w:t>
      </w:r>
      <w:r w:rsidR="00FE14AA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525581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 civilno društvo</w:t>
      </w:r>
      <w:r w:rsidR="0052558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ostvaren </w:t>
      </w:r>
      <w:r w:rsidR="009756EF" w:rsidRPr="00CB04B1">
        <w:rPr>
          <w:rFonts w:ascii="Arial" w:eastAsia="Times New Roman" w:hAnsi="Arial" w:cs="Arial"/>
          <w:sz w:val="20"/>
          <w:szCs w:val="20"/>
          <w:lang w:eastAsia="hr-HR"/>
        </w:rPr>
        <w:t>je prihod u iznosu od</w:t>
      </w:r>
      <w:r w:rsidR="0052558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829F9" w:rsidRPr="000829F9">
        <w:rPr>
          <w:rFonts w:ascii="Arial" w:eastAsia="Times New Roman" w:hAnsi="Arial" w:cs="Arial"/>
          <w:b/>
          <w:sz w:val="20"/>
          <w:szCs w:val="20"/>
          <w:lang w:eastAsia="hr-HR"/>
        </w:rPr>
        <w:t>3.490.340,61</w:t>
      </w:r>
      <w:r w:rsidR="00525581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410D64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</w:t>
      </w:r>
      <w:r w:rsidR="009040AB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9040AB"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>(šifra 671)</w:t>
      </w:r>
      <w:r w:rsidR="00FE14AA"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FE14AA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što je za </w:t>
      </w:r>
      <w:r w:rsidR="000829F9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FE14AA" w:rsidRPr="00CB04B1">
        <w:rPr>
          <w:rFonts w:ascii="Arial" w:eastAsia="Times New Roman" w:hAnsi="Arial" w:cs="Arial"/>
          <w:sz w:val="20"/>
          <w:szCs w:val="20"/>
          <w:lang w:eastAsia="hr-HR"/>
        </w:rPr>
        <w:t>% više od ostvarenih prihoda u izvještajnom razdoblju prethodne godine</w:t>
      </w:r>
    </w:p>
    <w:p w:rsidR="008B1BF9" w:rsidRPr="00CB04B1" w:rsidRDefault="008B1BF9" w:rsidP="00F5718F">
      <w:pPr>
        <w:pStyle w:val="ListParagraph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0829F9" w:rsidRPr="008B1BF9" w:rsidRDefault="009040AB" w:rsidP="00F5718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>iz</w:t>
      </w:r>
      <w:r w:rsidR="0052558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državnog proračuna</w:t>
      </w:r>
      <w:r w:rsidR="003A1134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(Šifra 636)</w:t>
      </w:r>
      <w:r w:rsidR="00EF474F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E41155" w:rsidRPr="00CB04B1">
        <w:rPr>
          <w:rFonts w:ascii="Arial" w:eastAsia="Times New Roman" w:hAnsi="Arial" w:cs="Arial"/>
          <w:sz w:val="20"/>
          <w:szCs w:val="20"/>
          <w:lang w:eastAsia="hr-HR"/>
        </w:rPr>
        <w:t>i to</w:t>
      </w:r>
      <w:r w:rsidR="003A1134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od </w:t>
      </w:r>
      <w:r w:rsidR="00525581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Ministarstv</w:t>
      </w:r>
      <w:r w:rsidR="00EF474F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</w:t>
      </w:r>
      <w:r w:rsidR="00525581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kulture i medija RH</w:t>
      </w:r>
      <w:r w:rsidR="00EF474F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EF474F"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>u</w:t>
      </w:r>
      <w:r w:rsidR="0052558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iznos</w:t>
      </w:r>
      <w:r w:rsidR="00092FBF" w:rsidRPr="00CB04B1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52558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od </w:t>
      </w:r>
      <w:r w:rsidR="000829F9" w:rsidRPr="000829F9">
        <w:rPr>
          <w:rFonts w:ascii="Arial" w:eastAsia="Times New Roman" w:hAnsi="Arial" w:cs="Arial"/>
          <w:b/>
          <w:sz w:val="20"/>
          <w:szCs w:val="20"/>
          <w:lang w:eastAsia="hr-HR"/>
        </w:rPr>
        <w:t>204.380,05</w:t>
      </w:r>
      <w:r w:rsidR="00B661CB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410D64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EUR</w:t>
      </w:r>
      <w:r w:rsidR="000829F9">
        <w:rPr>
          <w:rFonts w:ascii="Arial" w:eastAsia="Times New Roman" w:hAnsi="Arial" w:cs="Arial"/>
          <w:sz w:val="20"/>
          <w:szCs w:val="20"/>
          <w:lang w:eastAsia="hr-HR"/>
        </w:rPr>
        <w:t xml:space="preserve"> što je na razini od 29% od ostvarenih prihoda prethodne godine (sufinanciranje po Uredbi za troškove energenata)</w:t>
      </w:r>
    </w:p>
    <w:p w:rsidR="008B1BF9" w:rsidRPr="008B1BF9" w:rsidRDefault="008B1BF9" w:rsidP="00F5718F">
      <w:pPr>
        <w:spacing w:after="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041DF" w:rsidRPr="00A041DF" w:rsidRDefault="00F04D13" w:rsidP="00F5718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829F9">
        <w:rPr>
          <w:rFonts w:ascii="Arial" w:eastAsia="Times New Roman" w:hAnsi="Arial" w:cs="Arial"/>
          <w:sz w:val="20"/>
          <w:szCs w:val="20"/>
          <w:lang w:eastAsia="hr-HR"/>
        </w:rPr>
        <w:t xml:space="preserve">tekućih pomoći </w:t>
      </w:r>
      <w:r w:rsidR="003D34FB" w:rsidRPr="000829F9">
        <w:rPr>
          <w:rFonts w:ascii="Arial" w:eastAsia="Times New Roman" w:hAnsi="Arial" w:cs="Arial"/>
          <w:sz w:val="20"/>
          <w:szCs w:val="20"/>
          <w:lang w:eastAsia="hr-HR"/>
        </w:rPr>
        <w:t>od</w:t>
      </w:r>
      <w:r w:rsidRPr="000829F9">
        <w:rPr>
          <w:rFonts w:ascii="Arial" w:eastAsia="Times New Roman" w:hAnsi="Arial" w:cs="Arial"/>
          <w:sz w:val="20"/>
          <w:szCs w:val="20"/>
          <w:lang w:eastAsia="hr-HR"/>
        </w:rPr>
        <w:t xml:space="preserve"> međunarodnih</w:t>
      </w:r>
      <w:r w:rsidR="003D34FB" w:rsidRPr="000829F9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829F9">
        <w:rPr>
          <w:rFonts w:ascii="Arial" w:eastAsia="Times New Roman" w:hAnsi="Arial" w:cs="Arial"/>
          <w:sz w:val="20"/>
          <w:szCs w:val="20"/>
          <w:lang w:eastAsia="hr-HR"/>
        </w:rPr>
        <w:t>organizacija</w:t>
      </w:r>
      <w:r w:rsidR="003D34FB" w:rsidRPr="000829F9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829F9">
        <w:rPr>
          <w:rFonts w:ascii="Arial" w:eastAsia="Times New Roman" w:hAnsi="Arial" w:cs="Arial"/>
          <w:sz w:val="20"/>
          <w:szCs w:val="20"/>
          <w:lang w:eastAsia="hr-HR"/>
        </w:rPr>
        <w:t xml:space="preserve">te institucija </w:t>
      </w:r>
      <w:r w:rsidR="003D34FB" w:rsidRPr="000829F9">
        <w:rPr>
          <w:rFonts w:ascii="Arial" w:eastAsia="Times New Roman" w:hAnsi="Arial" w:cs="Arial"/>
          <w:sz w:val="20"/>
          <w:szCs w:val="20"/>
          <w:lang w:eastAsia="hr-HR"/>
        </w:rPr>
        <w:t xml:space="preserve">i tijela EU (šifra 632) u iznosu od </w:t>
      </w:r>
      <w:r w:rsidRPr="000829F9">
        <w:rPr>
          <w:rFonts w:ascii="Arial" w:eastAsia="Times New Roman" w:hAnsi="Arial" w:cs="Arial"/>
          <w:b/>
          <w:sz w:val="20"/>
          <w:szCs w:val="20"/>
          <w:lang w:eastAsia="hr-HR"/>
        </w:rPr>
        <w:t>13</w:t>
      </w:r>
      <w:r w:rsidR="00A041DF">
        <w:rPr>
          <w:rFonts w:ascii="Arial" w:eastAsia="Times New Roman" w:hAnsi="Arial" w:cs="Arial"/>
          <w:b/>
          <w:sz w:val="20"/>
          <w:szCs w:val="20"/>
          <w:lang w:eastAsia="hr-HR"/>
        </w:rPr>
        <w:t>8</w:t>
      </w:r>
      <w:r w:rsidRPr="000829F9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A041DF">
        <w:rPr>
          <w:rFonts w:ascii="Arial" w:eastAsia="Times New Roman" w:hAnsi="Arial" w:cs="Arial"/>
          <w:b/>
          <w:sz w:val="20"/>
          <w:szCs w:val="20"/>
          <w:lang w:eastAsia="hr-HR"/>
        </w:rPr>
        <w:t>807</w:t>
      </w:r>
      <w:r w:rsidRPr="000829F9">
        <w:rPr>
          <w:rFonts w:ascii="Arial" w:eastAsia="Times New Roman" w:hAnsi="Arial" w:cs="Arial"/>
          <w:b/>
          <w:sz w:val="20"/>
          <w:szCs w:val="20"/>
          <w:lang w:eastAsia="hr-HR"/>
        </w:rPr>
        <w:t>,</w:t>
      </w:r>
      <w:r w:rsidR="00A041DF">
        <w:rPr>
          <w:rFonts w:ascii="Arial" w:eastAsia="Times New Roman" w:hAnsi="Arial" w:cs="Arial"/>
          <w:b/>
          <w:sz w:val="20"/>
          <w:szCs w:val="20"/>
          <w:lang w:eastAsia="hr-HR"/>
        </w:rPr>
        <w:t>12</w:t>
      </w:r>
      <w:r w:rsidR="003D34FB" w:rsidRPr="000829F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EUR</w:t>
      </w:r>
      <w:r w:rsidR="00680A39" w:rsidRPr="000829F9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E41155" w:rsidRPr="000829F9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koji su </w:t>
      </w:r>
      <w:r w:rsidR="00A041DF">
        <w:rPr>
          <w:rFonts w:ascii="Arial" w:eastAsia="Times New Roman" w:hAnsi="Arial" w:cs="Arial"/>
          <w:bCs/>
          <w:sz w:val="20"/>
          <w:szCs w:val="20"/>
          <w:lang w:eastAsia="hr-HR"/>
        </w:rPr>
        <w:t>istoj razini kao i o</w:t>
      </w:r>
      <w:r w:rsidRPr="000829F9">
        <w:rPr>
          <w:rFonts w:ascii="Arial" w:eastAsia="Times New Roman" w:hAnsi="Arial" w:cs="Arial"/>
          <w:sz w:val="20"/>
          <w:szCs w:val="20"/>
          <w:lang w:eastAsia="hr-HR"/>
        </w:rPr>
        <w:t>stvareni prihod</w:t>
      </w:r>
      <w:r w:rsidR="00A041DF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0829F9">
        <w:rPr>
          <w:rFonts w:ascii="Arial" w:eastAsia="Times New Roman" w:hAnsi="Arial" w:cs="Arial"/>
          <w:sz w:val="20"/>
          <w:szCs w:val="20"/>
          <w:lang w:eastAsia="hr-HR"/>
        </w:rPr>
        <w:t xml:space="preserve"> u izvještajnom razdoblju prethodne godine</w:t>
      </w:r>
      <w:r w:rsidR="008B1BF9">
        <w:rPr>
          <w:rFonts w:ascii="Arial" w:eastAsia="Times New Roman" w:hAnsi="Arial" w:cs="Arial"/>
          <w:sz w:val="20"/>
          <w:szCs w:val="20"/>
          <w:lang w:eastAsia="hr-HR"/>
        </w:rPr>
        <w:t xml:space="preserve"> (namijenjeni su za provedbu programa pod nazivima </w:t>
      </w:r>
      <w:proofErr w:type="spellStart"/>
      <w:r w:rsidR="008B1BF9">
        <w:rPr>
          <w:rFonts w:ascii="Arial" w:eastAsia="Times New Roman" w:hAnsi="Arial" w:cs="Arial"/>
          <w:sz w:val="20"/>
          <w:szCs w:val="20"/>
          <w:lang w:eastAsia="hr-HR"/>
        </w:rPr>
        <w:t>Wikimedia</w:t>
      </w:r>
      <w:proofErr w:type="spellEnd"/>
      <w:r w:rsidR="008B1BF9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="008B1BF9">
        <w:rPr>
          <w:rFonts w:ascii="Arial" w:eastAsia="Times New Roman" w:hAnsi="Arial" w:cs="Arial"/>
          <w:sz w:val="20"/>
          <w:szCs w:val="20"/>
          <w:lang w:eastAsia="hr-HR"/>
        </w:rPr>
        <w:t>Foundation</w:t>
      </w:r>
      <w:proofErr w:type="spellEnd"/>
      <w:r w:rsidR="008B1BF9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="008B1BF9">
        <w:rPr>
          <w:rFonts w:ascii="Arial" w:eastAsia="Times New Roman" w:hAnsi="Arial" w:cs="Arial"/>
          <w:sz w:val="20"/>
          <w:szCs w:val="20"/>
          <w:lang w:eastAsia="hr-HR"/>
        </w:rPr>
        <w:t>Adrion</w:t>
      </w:r>
      <w:proofErr w:type="spellEnd"/>
      <w:r w:rsidR="008B1BF9">
        <w:rPr>
          <w:rFonts w:ascii="Arial" w:eastAsia="Times New Roman" w:hAnsi="Arial" w:cs="Arial"/>
          <w:sz w:val="20"/>
          <w:szCs w:val="20"/>
          <w:lang w:eastAsia="hr-HR"/>
        </w:rPr>
        <w:t xml:space="preserve">, Europa </w:t>
      </w:r>
      <w:proofErr w:type="spellStart"/>
      <w:r w:rsidR="008B1BF9">
        <w:rPr>
          <w:rFonts w:ascii="Arial" w:eastAsia="Times New Roman" w:hAnsi="Arial" w:cs="Arial"/>
          <w:sz w:val="20"/>
          <w:szCs w:val="20"/>
          <w:lang w:eastAsia="hr-HR"/>
        </w:rPr>
        <w:t>Cinemas</w:t>
      </w:r>
      <w:proofErr w:type="spellEnd"/>
      <w:r w:rsidR="008B1BF9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="008B1BF9">
        <w:rPr>
          <w:rFonts w:ascii="Arial" w:eastAsia="Times New Roman" w:hAnsi="Arial" w:cs="Arial"/>
          <w:sz w:val="20"/>
          <w:szCs w:val="20"/>
          <w:lang w:eastAsia="hr-HR"/>
        </w:rPr>
        <w:t>TAoR</w:t>
      </w:r>
      <w:proofErr w:type="spellEnd"/>
      <w:r w:rsidR="008B1BF9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proofErr w:type="spellStart"/>
      <w:r w:rsidR="008B1BF9">
        <w:rPr>
          <w:rFonts w:ascii="Arial" w:eastAsia="Times New Roman" w:hAnsi="Arial" w:cs="Arial"/>
          <w:sz w:val="20"/>
          <w:szCs w:val="20"/>
          <w:lang w:eastAsia="hr-HR"/>
        </w:rPr>
        <w:t>dr</w:t>
      </w:r>
      <w:proofErr w:type="spellEnd"/>
      <w:r w:rsidR="008B1BF9">
        <w:rPr>
          <w:rFonts w:ascii="Arial" w:eastAsia="Times New Roman" w:hAnsi="Arial" w:cs="Arial"/>
          <w:sz w:val="20"/>
          <w:szCs w:val="20"/>
          <w:lang w:eastAsia="hr-HR"/>
        </w:rPr>
        <w:t>.)</w:t>
      </w:r>
    </w:p>
    <w:p w:rsidR="00A041DF" w:rsidRDefault="00A041DF" w:rsidP="00F5718F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8B1BF9" w:rsidRPr="00A5514F" w:rsidRDefault="00D367A8" w:rsidP="00F5718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od prodaje proizvoda i robe (šifra 6614) u iznosu od </w:t>
      </w:r>
      <w:r w:rsidR="008B1BF9" w:rsidRPr="008B1BF9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Pr="008B1BF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</w:t>
      </w:r>
      <w:r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8B1BF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176</w:t>
      </w:r>
      <w:r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,5</w:t>
      </w:r>
      <w:r w:rsidR="008B1BF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</w:t>
      </w:r>
      <w:r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EUR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što je </w:t>
      </w:r>
      <w:r w:rsidR="008B1BF9">
        <w:rPr>
          <w:rFonts w:ascii="Arial" w:eastAsia="Times New Roman" w:hAnsi="Arial" w:cs="Arial"/>
          <w:sz w:val="20"/>
          <w:szCs w:val="20"/>
          <w:lang w:eastAsia="hr-HR"/>
        </w:rPr>
        <w:t>26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% više od ostvarenih prihoda u izvještajnom razdoblju prethodne godine, dok su prihodi od pruženih usluga (šifra 6615) u iznosu od </w:t>
      </w:r>
      <w:r w:rsidR="008B1BF9" w:rsidRPr="008B1BF9">
        <w:rPr>
          <w:rFonts w:ascii="Arial" w:eastAsia="Times New Roman" w:hAnsi="Arial" w:cs="Arial"/>
          <w:b/>
          <w:sz w:val="20"/>
          <w:szCs w:val="20"/>
          <w:lang w:eastAsia="hr-HR"/>
        </w:rPr>
        <w:t>249</w:t>
      </w:r>
      <w:r w:rsidRPr="008B1BF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8B1BF9" w:rsidRPr="008B1BF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016</w:t>
      </w:r>
      <w:r w:rsidRPr="008B1BF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</w:t>
      </w:r>
      <w:r w:rsidR="008B1BF9" w:rsidRPr="008B1BF9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16</w:t>
      </w:r>
      <w:r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EUR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5514F">
        <w:rPr>
          <w:rFonts w:ascii="Arial" w:eastAsia="Times New Roman" w:hAnsi="Arial" w:cs="Arial"/>
          <w:sz w:val="20"/>
          <w:szCs w:val="20"/>
          <w:lang w:eastAsia="hr-HR"/>
        </w:rPr>
        <w:t>41% više od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ostvarenih prihoda u izvještajnom razdoblju prethodne godine</w:t>
      </w:r>
      <w:r w:rsidR="00A5514F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B1BF9" w:rsidRPr="00CB04B1" w:rsidRDefault="008B1BF9" w:rsidP="00F5718F">
      <w:pPr>
        <w:pStyle w:val="ListParagraph"/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8B1BF9" w:rsidRDefault="00E41155" w:rsidP="00F5718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po posebnim propisima </w:t>
      </w:r>
      <w:r w:rsidR="00680A39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(šifra 652) 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koji se dijele na prihode od prodanih ulaznica u </w:t>
      </w:r>
      <w:r w:rsidR="00680A39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iznosu od </w:t>
      </w:r>
      <w:r w:rsidR="00A5514F" w:rsidRPr="00A5514F">
        <w:rPr>
          <w:rFonts w:ascii="Arial" w:eastAsia="Times New Roman" w:hAnsi="Arial" w:cs="Arial"/>
          <w:b/>
          <w:sz w:val="20"/>
          <w:szCs w:val="20"/>
          <w:lang w:eastAsia="hr-HR"/>
        </w:rPr>
        <w:t>215</w:t>
      </w:r>
      <w:r w:rsidRPr="00A551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A5514F" w:rsidRPr="00A551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113</w:t>
      </w:r>
      <w:r w:rsidRPr="00A551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</w:t>
      </w:r>
      <w:r w:rsidR="00A5514F" w:rsidRPr="00A551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18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80A39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EUR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i prihode s naslova osiguranja, refundacije štete i totalne štete u iznosu od </w:t>
      </w:r>
      <w:r w:rsidR="00A5514F" w:rsidRPr="00A5514F">
        <w:rPr>
          <w:rFonts w:ascii="Arial" w:eastAsia="Times New Roman" w:hAnsi="Arial" w:cs="Arial"/>
          <w:b/>
          <w:sz w:val="20"/>
          <w:szCs w:val="20"/>
          <w:lang w:eastAsia="hr-HR"/>
        </w:rPr>
        <w:t>25</w:t>
      </w:r>
      <w:r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A551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123</w:t>
      </w:r>
      <w:r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</w:t>
      </w:r>
      <w:r w:rsidR="00A551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58</w:t>
      </w:r>
      <w:r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EUR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što je </w:t>
      </w:r>
      <w:r w:rsidR="00A5514F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% više od ostvarenih prihoda u izvještajnom razdoblju prethodne godine</w:t>
      </w:r>
    </w:p>
    <w:p w:rsidR="00F5718F" w:rsidRPr="00F5718F" w:rsidRDefault="00F5718F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5514F" w:rsidRDefault="00BA1F38" w:rsidP="00F5718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od </w:t>
      </w:r>
      <w:r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>t</w:t>
      </w:r>
      <w:r w:rsidR="00813B8E"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ekućih i kapitalnih </w:t>
      </w:r>
      <w:r w:rsidR="00525581"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>donacija</w:t>
      </w:r>
      <w:r w:rsidR="00525581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813B8E"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>(</w:t>
      </w:r>
      <w:r w:rsidRPr="00CB04B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šifra 663) u iznosu od </w:t>
      </w:r>
      <w:r w:rsidR="00A5514F" w:rsidRPr="00A5514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171</w:t>
      </w:r>
      <w:r w:rsidR="001D6076" w:rsidRPr="00A5514F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A5514F">
        <w:rPr>
          <w:rFonts w:ascii="Arial" w:eastAsia="Times New Roman" w:hAnsi="Arial" w:cs="Arial"/>
          <w:b/>
          <w:sz w:val="20"/>
          <w:szCs w:val="20"/>
          <w:lang w:eastAsia="hr-HR"/>
        </w:rPr>
        <w:t>257</w:t>
      </w:r>
      <w:r w:rsidR="001D6076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,</w:t>
      </w:r>
      <w:r w:rsidR="00A5514F">
        <w:rPr>
          <w:rFonts w:ascii="Arial" w:eastAsia="Times New Roman" w:hAnsi="Arial" w:cs="Arial"/>
          <w:b/>
          <w:sz w:val="20"/>
          <w:szCs w:val="20"/>
          <w:lang w:eastAsia="hr-HR"/>
        </w:rPr>
        <w:t>00</w:t>
      </w:r>
      <w:r w:rsidR="00092FBF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EUR</w:t>
      </w:r>
      <w:r w:rsidR="001D6076"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1D6076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što je </w:t>
      </w:r>
      <w:r w:rsidR="00A5514F">
        <w:rPr>
          <w:rFonts w:ascii="Arial" w:eastAsia="Times New Roman" w:hAnsi="Arial" w:cs="Arial"/>
          <w:sz w:val="20"/>
          <w:szCs w:val="20"/>
          <w:lang w:eastAsia="hr-HR"/>
        </w:rPr>
        <w:t>na razini od 12% u odnosu na ostvareni prihod u izvještajnom razdoblju prethodne godine a koji se sastoji od potpora TZGZ za razne izložbe te poklona umjetničkih djela fizičkih osoba ukupnog iznosa 155.867,00 EUR.</w:t>
      </w:r>
    </w:p>
    <w:p w:rsidR="00BF3C9F" w:rsidRPr="00CB04B1" w:rsidRDefault="00BF3C9F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F5718F" w:rsidRDefault="00F5718F" w:rsidP="00F571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42E57" w:rsidRDefault="00942E57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</w:p>
    <w:p w:rsidR="00BF3C9F" w:rsidRPr="00CB04B1" w:rsidRDefault="00BF3C9F" w:rsidP="00F571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RASHODI</w:t>
      </w:r>
    </w:p>
    <w:p w:rsidR="00BF3C9F" w:rsidRPr="00CB04B1" w:rsidRDefault="00BF3C9F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947F1" w:rsidRPr="00CB04B1" w:rsidRDefault="00BF3C9F" w:rsidP="00F5718F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Rashodi poslovanja </w:t>
      </w:r>
      <w:r w:rsidR="007F33F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i rashodi za nabavu nefinancijske imovine 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u izvještajnom razdoblju </w:t>
      </w:r>
      <w:r w:rsidR="00A651DA" w:rsidRPr="00CB04B1">
        <w:rPr>
          <w:rFonts w:ascii="Arial" w:eastAsia="Times New Roman" w:hAnsi="Arial" w:cs="Arial"/>
          <w:sz w:val="20"/>
          <w:szCs w:val="20"/>
          <w:lang w:eastAsia="hr-HR"/>
        </w:rPr>
        <w:t>tekuće godine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51DA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ostvareni 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su u iznosu od </w:t>
      </w:r>
      <w:r w:rsidR="00915207" w:rsidRPr="00915207">
        <w:rPr>
          <w:rFonts w:ascii="Arial" w:eastAsia="Times New Roman" w:hAnsi="Arial" w:cs="Arial"/>
          <w:b/>
          <w:sz w:val="20"/>
          <w:szCs w:val="20"/>
          <w:lang w:eastAsia="hr-HR"/>
        </w:rPr>
        <w:t>4.737.141,36</w:t>
      </w:r>
      <w:r w:rsidR="00386D9B" w:rsidRPr="00915207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386D9B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EUR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r w:rsidR="00C65880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šifra 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3: iznos </w:t>
      </w:r>
      <w:r w:rsidR="00A651DA" w:rsidRPr="00CB04B1">
        <w:rPr>
          <w:rFonts w:ascii="Arial" w:eastAsia="Times New Roman" w:hAnsi="Arial" w:cs="Arial"/>
          <w:sz w:val="20"/>
          <w:szCs w:val="20"/>
          <w:lang w:eastAsia="hr-HR"/>
        </w:rPr>
        <w:t>4.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511</w:t>
      </w:r>
      <w:r w:rsidR="00A651DA"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711</w:t>
      </w:r>
      <w:r w:rsidR="00A651DA"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68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 + </w:t>
      </w:r>
      <w:r w:rsidR="007F33FE" w:rsidRPr="00CB04B1">
        <w:rPr>
          <w:rFonts w:ascii="Arial" w:eastAsia="Times New Roman" w:hAnsi="Arial" w:cs="Arial"/>
          <w:sz w:val="20"/>
          <w:szCs w:val="20"/>
          <w:lang w:eastAsia="hr-HR"/>
        </w:rPr>
        <w:t>šifra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4: iznos 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225.429,68</w:t>
      </w:r>
      <w:r w:rsidR="00FB6ACA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>)</w:t>
      </w:r>
      <w:r w:rsidR="00A651DA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što je u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odnosu na isto razdoblje prethodne godine</w:t>
      </w:r>
      <w:r w:rsidR="00C65880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manje</w:t>
      </w:r>
      <w:r w:rsidR="00C65880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za 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="00C65880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% 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kada su rashodi iznosili </w:t>
      </w:r>
      <w:r w:rsidR="00915207" w:rsidRPr="00915207">
        <w:rPr>
          <w:rFonts w:ascii="Arial" w:eastAsia="Times New Roman" w:hAnsi="Arial" w:cs="Arial"/>
          <w:b/>
          <w:sz w:val="20"/>
          <w:szCs w:val="20"/>
          <w:lang w:eastAsia="hr-HR"/>
        </w:rPr>
        <w:t>5.559.603,77</w:t>
      </w:r>
      <w:r w:rsidR="00FB6ACA" w:rsidRPr="00915207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E</w:t>
      </w:r>
      <w:r w:rsidR="00FB6ACA" w:rsidRPr="00CB04B1">
        <w:rPr>
          <w:rFonts w:ascii="Arial" w:eastAsia="Times New Roman" w:hAnsi="Arial" w:cs="Arial"/>
          <w:b/>
          <w:sz w:val="20"/>
          <w:szCs w:val="20"/>
          <w:lang w:eastAsia="hr-HR"/>
        </w:rPr>
        <w:t>UR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r w:rsidR="007F33FE" w:rsidRPr="00CB04B1">
        <w:rPr>
          <w:rFonts w:ascii="Arial" w:eastAsia="Times New Roman" w:hAnsi="Arial" w:cs="Arial"/>
          <w:sz w:val="20"/>
          <w:szCs w:val="20"/>
          <w:lang w:eastAsia="hr-HR"/>
        </w:rPr>
        <w:t>šifra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. 3: iznos 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4.094.896,18</w:t>
      </w:r>
      <w:r w:rsidR="003B193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+ </w:t>
      </w:r>
      <w:r w:rsidR="007F33FE" w:rsidRPr="00CB04B1">
        <w:rPr>
          <w:rFonts w:ascii="Arial" w:eastAsia="Times New Roman" w:hAnsi="Arial" w:cs="Arial"/>
          <w:sz w:val="20"/>
          <w:szCs w:val="20"/>
          <w:lang w:eastAsia="hr-HR"/>
        </w:rPr>
        <w:t>šifra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4: iznos 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1.464.707,59</w:t>
      </w:r>
      <w:r w:rsidR="00FB6ACA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</w:t>
      </w:r>
      <w:r w:rsidR="00386D9B" w:rsidRPr="00CB04B1">
        <w:rPr>
          <w:rFonts w:ascii="Arial" w:eastAsia="Times New Roman" w:hAnsi="Arial" w:cs="Arial"/>
          <w:sz w:val="20"/>
          <w:szCs w:val="20"/>
          <w:lang w:eastAsia="hr-HR"/>
        </w:rPr>
        <w:t>)</w:t>
      </w:r>
      <w:r w:rsidR="00C65880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:rsidR="004C4FE7" w:rsidRPr="00CB04B1" w:rsidRDefault="004841EA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>U nastavku se navode sljedeća veća odstupanja</w:t>
      </w:r>
      <w:r w:rsidR="00675E64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troškov</w:t>
      </w:r>
      <w:r w:rsidR="00675E64" w:rsidRPr="00CB04B1">
        <w:rPr>
          <w:rFonts w:ascii="Arial" w:eastAsia="Times New Roman" w:hAnsi="Arial" w:cs="Arial"/>
          <w:sz w:val="20"/>
          <w:szCs w:val="20"/>
          <w:lang w:eastAsia="hr-HR"/>
        </w:rPr>
        <w:t>ima 202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675E64" w:rsidRPr="00CB04B1">
        <w:rPr>
          <w:rFonts w:ascii="Arial" w:eastAsia="Times New Roman" w:hAnsi="Arial" w:cs="Arial"/>
          <w:sz w:val="20"/>
          <w:szCs w:val="20"/>
          <w:lang w:eastAsia="hr-HR"/>
        </w:rPr>
        <w:t>. godine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 odnosu na 202</w:t>
      </w:r>
      <w:r w:rsidR="00915207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B947F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godinu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:</w:t>
      </w:r>
    </w:p>
    <w:p w:rsidR="00BA2799" w:rsidRPr="00F5718F" w:rsidRDefault="0065609E" w:rsidP="00F5718F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Šifra 311 </w:t>
      </w:r>
      <w:r w:rsidR="004C4FE7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– </w:t>
      </w:r>
      <w:r w:rsidR="00BA2799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Rashodi za zaposlene </w:t>
      </w:r>
      <w:r w:rsidR="00334C36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ostvareni tijekom </w:t>
      </w:r>
      <w:r w:rsidR="00BA2799" w:rsidRPr="00F5718F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915207" w:rsidRPr="00F5718F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BA2799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. iznose </w:t>
      </w:r>
      <w:r w:rsidR="00334C36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1.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395</w:t>
      </w:r>
      <w:r w:rsidR="00334C36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623</w:t>
      </w:r>
      <w:r w:rsidR="00334C36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,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91</w:t>
      </w:r>
      <w:r w:rsidR="00BA2799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EUR</w:t>
      </w:r>
      <w:r w:rsidR="00BA2799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te </w:t>
      </w:r>
      <w:r w:rsidR="008370CD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je </w:t>
      </w:r>
      <w:r w:rsidR="00BA2799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u odnosu na isto razdoblje prošle godine veći za </w:t>
      </w:r>
      <w:r w:rsidR="00334C36" w:rsidRPr="00F5718F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915207" w:rsidRPr="00F5718F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BA2799" w:rsidRPr="00F5718F">
        <w:rPr>
          <w:rFonts w:ascii="Arial" w:eastAsia="Times New Roman" w:hAnsi="Arial" w:cs="Arial"/>
          <w:sz w:val="20"/>
          <w:szCs w:val="20"/>
          <w:lang w:eastAsia="hr-HR"/>
        </w:rPr>
        <w:t>%</w:t>
      </w:r>
      <w:r w:rsidR="00AE63A2" w:rsidRPr="00F5718F">
        <w:rPr>
          <w:rFonts w:ascii="Arial" w:eastAsia="Times New Roman" w:hAnsi="Arial" w:cs="Arial"/>
          <w:sz w:val="20"/>
          <w:szCs w:val="20"/>
          <w:lang w:eastAsia="hr-HR"/>
        </w:rPr>
        <w:t>, a</w:t>
      </w:r>
      <w:r w:rsidR="00BA2799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E442B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razlog </w:t>
      </w:r>
      <w:r w:rsidR="00334C36" w:rsidRPr="00F5718F">
        <w:rPr>
          <w:rFonts w:ascii="Arial" w:eastAsia="Times New Roman" w:hAnsi="Arial" w:cs="Arial"/>
          <w:sz w:val="20"/>
          <w:szCs w:val="20"/>
          <w:lang w:eastAsia="hr-HR"/>
        </w:rPr>
        <w:t>je povećanje osnovice za obračun plaće temeljem Kolektivnog ugovora za zaposlene u ustanovama kulture Grada Zagreba</w:t>
      </w:r>
    </w:p>
    <w:p w:rsidR="001A5649" w:rsidRPr="001F1EFA" w:rsidRDefault="001A5649" w:rsidP="00F5718F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1A5649" w:rsidRPr="00F5718F" w:rsidRDefault="004C4FE7" w:rsidP="00F5718F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5718F">
        <w:rPr>
          <w:rFonts w:ascii="Arial" w:eastAsia="Times New Roman" w:hAnsi="Arial" w:cs="Arial"/>
          <w:sz w:val="20"/>
          <w:szCs w:val="20"/>
          <w:lang w:eastAsia="hr-HR"/>
        </w:rPr>
        <w:t>Šifra 312 – Ostali rashodi za zaposlene</w:t>
      </w:r>
      <w:r w:rsidR="00107E72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iznose 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100</w:t>
      </w:r>
      <w:r w:rsidR="005601BD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865</w:t>
      </w:r>
      <w:r w:rsidR="005601BD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,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87</w:t>
      </w:r>
      <w:r w:rsidR="00107E72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EUR</w:t>
      </w:r>
      <w:r w:rsidR="00AE63A2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51841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te </w:t>
      </w:r>
      <w:r w:rsidR="00AE63A2" w:rsidRPr="00F5718F">
        <w:rPr>
          <w:rFonts w:ascii="Arial" w:eastAsia="Times New Roman" w:hAnsi="Arial" w:cs="Arial"/>
          <w:sz w:val="20"/>
          <w:szCs w:val="20"/>
          <w:lang w:eastAsia="hr-HR"/>
        </w:rPr>
        <w:t>s</w:t>
      </w:r>
      <w:r w:rsidR="00107E72" w:rsidRPr="00F5718F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AE63A2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>veći</w:t>
      </w:r>
      <w:r w:rsidR="005601BD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za </w:t>
      </w:r>
      <w:r w:rsidR="00915207" w:rsidRPr="00F5718F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5601BD" w:rsidRPr="00F5718F">
        <w:rPr>
          <w:rFonts w:ascii="Arial" w:eastAsia="Times New Roman" w:hAnsi="Arial" w:cs="Arial"/>
          <w:sz w:val="20"/>
          <w:szCs w:val="20"/>
          <w:lang w:eastAsia="hr-HR"/>
        </w:rPr>
        <w:t>%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u odnosu na </w:t>
      </w:r>
      <w:r w:rsidR="00915207" w:rsidRPr="00F5718F">
        <w:rPr>
          <w:rFonts w:ascii="Arial" w:eastAsia="Times New Roman" w:hAnsi="Arial" w:cs="Arial"/>
          <w:sz w:val="20"/>
          <w:szCs w:val="20"/>
          <w:lang w:eastAsia="hr-HR"/>
        </w:rPr>
        <w:t>isto razdoblje</w:t>
      </w:r>
      <w:r w:rsidR="002A2C9A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prošle godine uslijed potpisivanja IV Dodatka Kolektivnom ugovoru za zaposlene u ustanovama kulture Grada Zagreba (povećan dar za djecu i božićnica)</w:t>
      </w:r>
    </w:p>
    <w:p w:rsidR="001A5649" w:rsidRPr="001A5649" w:rsidRDefault="001A5649" w:rsidP="00F5718F">
      <w:pPr>
        <w:pStyle w:val="ListParagraph"/>
        <w:rPr>
          <w:rFonts w:ascii="Arial" w:eastAsia="Times New Roman" w:hAnsi="Arial" w:cs="Arial"/>
          <w:sz w:val="20"/>
          <w:szCs w:val="20"/>
          <w:lang w:eastAsia="hr-HR"/>
        </w:rPr>
      </w:pPr>
    </w:p>
    <w:p w:rsidR="001A5649" w:rsidRPr="001A5649" w:rsidRDefault="001A5649" w:rsidP="00F5718F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915207" w:rsidRPr="00F5718F" w:rsidRDefault="00831127" w:rsidP="00F5718F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Šifra 322 </w:t>
      </w:r>
      <w:r w:rsidR="0068138C" w:rsidRPr="00F5718F">
        <w:rPr>
          <w:rFonts w:ascii="Arial" w:eastAsia="Times New Roman" w:hAnsi="Arial" w:cs="Arial"/>
          <w:sz w:val="20"/>
          <w:szCs w:val="20"/>
          <w:lang w:eastAsia="hr-HR"/>
        </w:rPr>
        <w:t>–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564FD8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68138C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ashodi za materijal i energiju iznose 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598</w:t>
      </w:r>
      <w:r w:rsidR="008370CD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202</w:t>
      </w:r>
      <w:r w:rsidR="008370CD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,</w:t>
      </w:r>
      <w:r w:rsidR="00915207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65</w:t>
      </w:r>
      <w:r w:rsidR="00BC271F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EUR</w:t>
      </w:r>
      <w:r w:rsidR="0068138C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te su u odnosu na isto razdoblje prošle godine</w:t>
      </w:r>
      <w:r w:rsidR="008370CD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15207" w:rsidRPr="00F5718F">
        <w:rPr>
          <w:rFonts w:ascii="Arial" w:eastAsia="Times New Roman" w:hAnsi="Arial" w:cs="Arial"/>
          <w:sz w:val="20"/>
          <w:szCs w:val="20"/>
          <w:lang w:eastAsia="hr-HR"/>
        </w:rPr>
        <w:t>manji za 53%</w:t>
      </w:r>
      <w:r w:rsidR="008370CD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75051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(u 2023. Sufinanciranje po Uredbi o energentima), u navedenoj skupini rashoda najveće odstupanje u odnosu na prošlu godinu je na kontu 3224 Materijal i dijelovi za tekuće i investicijsko održavanje a najveći dio odnosi se na popravak klimatizacijskog sistema, led rasvjete te horizontalnu vertikalnu </w:t>
      </w:r>
      <w:r w:rsidR="009643DE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signalizaciju u garažnom dijelu i </w:t>
      </w:r>
      <w:proofErr w:type="spellStart"/>
      <w:r w:rsidR="009643DE" w:rsidRPr="00F5718F">
        <w:rPr>
          <w:rFonts w:ascii="Arial" w:eastAsia="Times New Roman" w:hAnsi="Arial" w:cs="Arial"/>
          <w:sz w:val="20"/>
          <w:szCs w:val="20"/>
          <w:lang w:eastAsia="hr-HR"/>
        </w:rPr>
        <w:t>dr</w:t>
      </w:r>
      <w:proofErr w:type="spellEnd"/>
      <w:r w:rsidR="009643DE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:rsidR="001F1EFA" w:rsidRPr="001F1EFA" w:rsidRDefault="001F1EFA" w:rsidP="00F5718F">
      <w:pPr>
        <w:pStyle w:val="ListParagraph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915207" w:rsidRPr="00F5718F" w:rsidRDefault="0096240C" w:rsidP="00F5718F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Šifra 323 – </w:t>
      </w:r>
      <w:r w:rsidR="00564FD8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EB5004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ashodi za usluge iznose </w:t>
      </w:r>
      <w:r w:rsidR="00EB5004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1.</w:t>
      </w:r>
      <w:r w:rsidR="00B75051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452</w:t>
      </w:r>
      <w:r w:rsidR="00EB5004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  <w:r w:rsidR="00B75051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020</w:t>
      </w:r>
      <w:r w:rsidR="00EB5004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,5</w:t>
      </w:r>
      <w:r w:rsidR="00B75051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4</w:t>
      </w:r>
      <w:r w:rsidR="00EB5004"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EUR</w:t>
      </w:r>
      <w:r w:rsidR="00EB5004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te su u odnosu na isto razdoblje prošle godine veći za </w:t>
      </w:r>
      <w:r w:rsidR="00B75051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26%, u navedenoj skupini rashoda najveće odstupanje u odnosu na prošlu godinu je na kontu 3232 Usluge tekućeg i investicijskog održavanja a najveći dio odnosi se na </w:t>
      </w:r>
      <w:r w:rsidR="009643DE"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vanjske usluge izolacije krova, zamjena oštećenih segmenata staklenih vrata, izrada i postavljanje zaštite od buke, mehaničko-kemijsko čišćenje klimatizacije i </w:t>
      </w:r>
      <w:proofErr w:type="spellStart"/>
      <w:r w:rsidR="009643DE" w:rsidRPr="00F5718F">
        <w:rPr>
          <w:rFonts w:ascii="Arial" w:eastAsia="Times New Roman" w:hAnsi="Arial" w:cs="Arial"/>
          <w:sz w:val="20"/>
          <w:szCs w:val="20"/>
          <w:lang w:eastAsia="hr-HR"/>
        </w:rPr>
        <w:t>dr</w:t>
      </w:r>
      <w:proofErr w:type="spellEnd"/>
      <w:r w:rsidR="009643DE" w:rsidRPr="00F5718F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E01E77" w:rsidRPr="00E01E77" w:rsidRDefault="00E01E77" w:rsidP="00F5718F">
      <w:pPr>
        <w:pStyle w:val="ListParagraph"/>
        <w:rPr>
          <w:rFonts w:ascii="Arial" w:eastAsia="Times New Roman" w:hAnsi="Arial" w:cs="Arial"/>
          <w:sz w:val="20"/>
          <w:szCs w:val="20"/>
          <w:lang w:eastAsia="hr-HR"/>
        </w:rPr>
      </w:pPr>
    </w:p>
    <w:p w:rsidR="00E01E77" w:rsidRPr="00F5718F" w:rsidRDefault="00E01E77" w:rsidP="00F5718F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Šifra 324 – </w:t>
      </w:r>
      <w:r w:rsidR="00A26B06"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aknade troškova osobama izvan radnog odnosa iznose </w:t>
      </w:r>
      <w:r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28.123,36 EUR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i u odnosu na prošlu godinu veći su 142% a odnose se na plaćene troškove smještaja i prijevoza vanjskim suradnicima na provedbi projekata Muzeja.</w:t>
      </w:r>
    </w:p>
    <w:p w:rsidR="00E01E77" w:rsidRPr="00E01E77" w:rsidRDefault="00E01E77" w:rsidP="00F5718F">
      <w:pPr>
        <w:pStyle w:val="ListParagraph"/>
        <w:rPr>
          <w:rFonts w:ascii="Arial" w:eastAsia="Times New Roman" w:hAnsi="Arial" w:cs="Arial"/>
          <w:sz w:val="20"/>
          <w:szCs w:val="20"/>
          <w:lang w:eastAsia="hr-HR"/>
        </w:rPr>
      </w:pPr>
    </w:p>
    <w:p w:rsidR="00F5718F" w:rsidRDefault="00E01E77" w:rsidP="00F5718F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Šifra 329 – </w:t>
      </w:r>
      <w:r w:rsidR="00A26B06">
        <w:rPr>
          <w:rFonts w:ascii="Arial" w:eastAsia="Times New Roman" w:hAnsi="Arial" w:cs="Arial"/>
          <w:sz w:val="20"/>
          <w:szCs w:val="20"/>
          <w:lang w:eastAsia="hr-HR"/>
        </w:rPr>
        <w:t>O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stali nespomenuti rashodi poslovanja iznose </w:t>
      </w:r>
      <w:r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314.245,63 EUR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i u odnosu na prošlu godinu veći su za 197%, u navedenoj skupini rashoda najistaknutiji su rashodi reprezentacije koji iznose 27.437,66 EUR što je povećanje za 12% u odnosu na isto razdoblje prošle godine iz razloga povećanih troškova u svrhu organizacije raznih tekućih programa i projekata te otvorenja izložbi te rashodi </w:t>
      </w:r>
      <w:r w:rsidR="00F5718F" w:rsidRPr="00F5718F">
        <w:rPr>
          <w:rFonts w:ascii="Arial" w:eastAsia="Times New Roman" w:hAnsi="Arial" w:cs="Arial"/>
          <w:sz w:val="20"/>
          <w:szCs w:val="20"/>
          <w:lang w:eastAsia="hr-HR"/>
        </w:rPr>
        <w:t>osiguranja imovine i osoba koji iznose 26.109,32 EUR</w:t>
      </w:r>
    </w:p>
    <w:p w:rsidR="00F5718F" w:rsidRPr="00F5718F" w:rsidRDefault="00F5718F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F5718F" w:rsidRDefault="00F5718F" w:rsidP="00F5718F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Šifra 343 Ostali financijski rashodi iznose </w:t>
      </w:r>
      <w:r w:rsidRPr="00F5718F">
        <w:rPr>
          <w:rFonts w:ascii="Arial" w:eastAsia="Times New Roman" w:hAnsi="Arial" w:cs="Arial"/>
          <w:b/>
          <w:sz w:val="20"/>
          <w:szCs w:val="20"/>
          <w:lang w:eastAsia="hr-HR"/>
        </w:rPr>
        <w:t>304.820,99 EUR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i u odnosu na prošlu godinu značajno su veći zbog troška zateznih kamata po sudskoj ovrsi u predmetu BENZ d.o.o.</w:t>
      </w:r>
    </w:p>
    <w:p w:rsidR="00F5718F" w:rsidRPr="00F5718F" w:rsidRDefault="00F5718F" w:rsidP="00F5718F">
      <w:pPr>
        <w:pStyle w:val="ListParagraph"/>
        <w:rPr>
          <w:rFonts w:ascii="Arial" w:eastAsia="Times New Roman" w:hAnsi="Arial" w:cs="Arial"/>
          <w:sz w:val="20"/>
          <w:szCs w:val="20"/>
          <w:lang w:eastAsia="hr-HR"/>
        </w:rPr>
      </w:pPr>
    </w:p>
    <w:p w:rsidR="009749AF" w:rsidRPr="00F5718F" w:rsidRDefault="009749AF" w:rsidP="00F5718F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Šifra 422 – </w:t>
      </w:r>
      <w:r w:rsidR="0031348C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ostrojenja i oprema </w:t>
      </w:r>
      <w:r w:rsidR="0031348C">
        <w:rPr>
          <w:rFonts w:ascii="Arial" w:eastAsia="Times New Roman" w:hAnsi="Arial" w:cs="Arial"/>
          <w:sz w:val="20"/>
          <w:szCs w:val="20"/>
          <w:lang w:eastAsia="hr-HR"/>
        </w:rPr>
        <w:t>u iznosu od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31348C" w:rsidRPr="0031348C">
        <w:rPr>
          <w:rFonts w:ascii="Arial" w:eastAsia="Times New Roman" w:hAnsi="Arial" w:cs="Arial"/>
          <w:b/>
          <w:sz w:val="20"/>
          <w:szCs w:val="20"/>
          <w:lang w:eastAsia="hr-HR"/>
        </w:rPr>
        <w:t>53</w:t>
      </w:r>
      <w:r w:rsidRPr="0031348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31348C" w:rsidRPr="0031348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936</w:t>
      </w:r>
      <w:r w:rsidRPr="0031348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</w:t>
      </w:r>
      <w:r w:rsidR="0031348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44</w:t>
      </w:r>
      <w:r w:rsidRPr="00F5718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EUR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 xml:space="preserve"> što je povećanje od </w:t>
      </w:r>
      <w:r w:rsidR="0031348C">
        <w:rPr>
          <w:rFonts w:ascii="Arial" w:eastAsia="Times New Roman" w:hAnsi="Arial" w:cs="Arial"/>
          <w:sz w:val="20"/>
          <w:szCs w:val="20"/>
          <w:lang w:eastAsia="hr-HR"/>
        </w:rPr>
        <w:t>57</w:t>
      </w:r>
      <w:r w:rsidRPr="00F5718F">
        <w:rPr>
          <w:rFonts w:ascii="Arial" w:eastAsia="Times New Roman" w:hAnsi="Arial" w:cs="Arial"/>
          <w:sz w:val="20"/>
          <w:szCs w:val="20"/>
          <w:lang w:eastAsia="hr-HR"/>
        </w:rPr>
        <w:t>% u odnosu na isto razdoblje prošle godine a odnosi se na na</w:t>
      </w:r>
      <w:r w:rsidR="00A26B06">
        <w:rPr>
          <w:rFonts w:ascii="Arial" w:eastAsia="Times New Roman" w:hAnsi="Arial" w:cs="Arial"/>
          <w:sz w:val="20"/>
          <w:szCs w:val="20"/>
          <w:lang w:eastAsia="hr-HR"/>
        </w:rPr>
        <w:t>bavu novih računala i monitora za potrebe svakodnevnog rada zaposlenika Muzeja</w:t>
      </w:r>
      <w:r w:rsidR="00044338">
        <w:rPr>
          <w:rFonts w:ascii="Arial" w:eastAsia="Times New Roman" w:hAnsi="Arial" w:cs="Arial"/>
          <w:sz w:val="20"/>
          <w:szCs w:val="20"/>
          <w:lang w:eastAsia="hr-HR"/>
        </w:rPr>
        <w:t xml:space="preserve">, projektora za potrebe održavanje izložbi, sustava </w:t>
      </w:r>
      <w:proofErr w:type="spellStart"/>
      <w:r w:rsidR="00044338">
        <w:rPr>
          <w:rFonts w:ascii="Arial" w:eastAsia="Times New Roman" w:hAnsi="Arial" w:cs="Arial"/>
          <w:sz w:val="20"/>
          <w:szCs w:val="20"/>
          <w:lang w:eastAsia="hr-HR"/>
        </w:rPr>
        <w:t>videonadzora</w:t>
      </w:r>
      <w:proofErr w:type="spellEnd"/>
      <w:r w:rsidR="00044338">
        <w:rPr>
          <w:rFonts w:ascii="Arial" w:eastAsia="Times New Roman" w:hAnsi="Arial" w:cs="Arial"/>
          <w:sz w:val="20"/>
          <w:szCs w:val="20"/>
          <w:lang w:eastAsia="hr-HR"/>
        </w:rPr>
        <w:t xml:space="preserve"> te stroja za čišćenje.</w:t>
      </w:r>
    </w:p>
    <w:p w:rsidR="00915207" w:rsidRPr="001F1EFA" w:rsidRDefault="00915207" w:rsidP="00F5718F">
      <w:pPr>
        <w:pStyle w:val="ListParagraph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942E57" w:rsidRDefault="00AA4A74" w:rsidP="00942E57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Rezultat poslovanja na kraju </w:t>
      </w:r>
      <w:r w:rsidR="004841EA" w:rsidRPr="00CB04B1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FF1730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4841EA"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C2733C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godine </w:t>
      </w:r>
      <w:r w:rsidR="004841EA" w:rsidRPr="00CB04B1">
        <w:rPr>
          <w:rFonts w:ascii="Arial" w:eastAsia="Times New Roman" w:hAnsi="Arial" w:cs="Arial"/>
          <w:sz w:val="20"/>
          <w:szCs w:val="20"/>
          <w:lang w:eastAsia="hr-HR"/>
        </w:rPr>
        <w:t>je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ukupan manjak od </w:t>
      </w:r>
      <w:r w:rsidR="00FF1730" w:rsidRPr="00FF1730">
        <w:rPr>
          <w:rFonts w:ascii="Arial" w:eastAsia="Times New Roman" w:hAnsi="Arial" w:cs="Arial"/>
          <w:b/>
          <w:sz w:val="20"/>
          <w:szCs w:val="20"/>
          <w:lang w:eastAsia="hr-HR"/>
        </w:rPr>
        <w:t>241</w:t>
      </w:r>
      <w:r w:rsidRPr="00FF173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FF1730" w:rsidRPr="00FF173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961</w:t>
      </w:r>
      <w:r w:rsidRPr="00FF173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</w:t>
      </w:r>
      <w:r w:rsidR="00FF1730" w:rsidRPr="00FF173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33</w:t>
      </w:r>
      <w:r w:rsidRPr="00CB04B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EUR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(šifra Y006)</w:t>
      </w:r>
      <w:r w:rsidR="00F315E7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koji se sastoji od</w:t>
      </w:r>
      <w:r w:rsidR="00FF1730">
        <w:rPr>
          <w:rFonts w:ascii="Arial" w:eastAsia="Times New Roman" w:hAnsi="Arial" w:cs="Arial"/>
          <w:sz w:val="20"/>
          <w:szCs w:val="20"/>
          <w:lang w:eastAsia="hr-HR"/>
        </w:rPr>
        <w:t xml:space="preserve"> manjka prihoda od </w:t>
      </w:r>
      <w:r w:rsidR="00FF1730" w:rsidRPr="00FF1730">
        <w:rPr>
          <w:rFonts w:ascii="Arial" w:eastAsia="Times New Roman" w:hAnsi="Arial" w:cs="Arial"/>
          <w:b/>
          <w:sz w:val="20"/>
          <w:szCs w:val="20"/>
          <w:lang w:eastAsia="hr-HR"/>
        </w:rPr>
        <w:t>223.047,64 EUR</w:t>
      </w:r>
      <w:r w:rsidR="00FF1730">
        <w:rPr>
          <w:rFonts w:ascii="Arial" w:eastAsia="Times New Roman" w:hAnsi="Arial" w:cs="Arial"/>
          <w:sz w:val="20"/>
          <w:szCs w:val="20"/>
          <w:lang w:eastAsia="hr-HR"/>
        </w:rPr>
        <w:t xml:space="preserve"> (šifra Y005) i prenesenog manjka prihoda iz prošle godine iznosa </w:t>
      </w:r>
      <w:r w:rsidR="00FF1730" w:rsidRPr="00FF1730">
        <w:rPr>
          <w:rFonts w:ascii="Arial" w:eastAsia="Times New Roman" w:hAnsi="Arial" w:cs="Arial"/>
          <w:b/>
          <w:sz w:val="20"/>
          <w:szCs w:val="20"/>
          <w:lang w:eastAsia="hr-HR"/>
        </w:rPr>
        <w:t>18.913,69 EUR</w:t>
      </w:r>
      <w:r w:rsidR="00115A3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115A38" w:rsidRPr="00CB04B1">
        <w:rPr>
          <w:rFonts w:ascii="Arial" w:eastAsia="Times New Roman" w:hAnsi="Arial" w:cs="Arial"/>
          <w:sz w:val="20"/>
          <w:szCs w:val="20"/>
          <w:lang w:eastAsia="hr-HR"/>
        </w:rPr>
        <w:t>(šifra 9222-9221)</w:t>
      </w:r>
      <w:r w:rsidR="00FF173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15A38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Prihodi koji su namijenjeni za pokriće nastalog 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manjka u 202</w:t>
      </w:r>
      <w:r w:rsidR="00115A38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t>. godini će rezultirati viškom prihoda poslovanja u 202</w:t>
      </w:r>
      <w:r w:rsidR="00115A38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t>. godini</w:t>
      </w:r>
      <w:r w:rsidR="00DF319D"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a kojim </w:t>
      </w:r>
      <w:r w:rsidR="004C6A08" w:rsidRPr="00CB04B1">
        <w:rPr>
          <w:rFonts w:ascii="Arial" w:eastAsia="Times New Roman" w:hAnsi="Arial" w:cs="Arial"/>
          <w:sz w:val="20"/>
          <w:szCs w:val="20"/>
          <w:lang w:eastAsia="hr-HR"/>
        </w:rPr>
        <w:t>bi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se na kraju 202</w:t>
      </w:r>
      <w:r w:rsidR="00115A38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t>. godine pokr</w:t>
      </w:r>
      <w:r w:rsidR="004C6A08" w:rsidRPr="00CB04B1">
        <w:rPr>
          <w:rFonts w:ascii="Arial" w:eastAsia="Times New Roman" w:hAnsi="Arial" w:cs="Arial"/>
          <w:sz w:val="20"/>
          <w:szCs w:val="20"/>
          <w:lang w:eastAsia="hr-HR"/>
        </w:rPr>
        <w:t>io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nastali „metodološki“ manjak</w:t>
      </w:r>
      <w:r w:rsidR="00DF319D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 202</w:t>
      </w:r>
      <w:r w:rsidR="00115A38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DF319D" w:rsidRPr="00CB04B1">
        <w:rPr>
          <w:rFonts w:ascii="Arial" w:eastAsia="Times New Roman" w:hAnsi="Arial" w:cs="Arial"/>
          <w:sz w:val="20"/>
          <w:szCs w:val="20"/>
          <w:lang w:eastAsia="hr-HR"/>
        </w:rPr>
        <w:t>. godini</w:t>
      </w:r>
      <w:r w:rsidR="00D078CB"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133B60" w:rsidRDefault="00133B60" w:rsidP="00942E5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1BE1" w:rsidRPr="00942E57" w:rsidRDefault="00E21BE1" w:rsidP="00942E57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hAnsi="Arial" w:cs="Arial"/>
          <w:b/>
          <w:sz w:val="20"/>
          <w:szCs w:val="20"/>
          <w:u w:val="single"/>
        </w:rPr>
        <w:t>Bilješke uz obrazac BILANCA</w:t>
      </w:r>
    </w:p>
    <w:p w:rsidR="00942E57" w:rsidRDefault="00E21BE1" w:rsidP="00F5718F">
      <w:pPr>
        <w:spacing w:after="0"/>
        <w:ind w:firstLine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596D28" w:rsidRPr="00CB04B1" w:rsidRDefault="001C17B0" w:rsidP="00477BD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>Vrijednost imovine na dan 31.12</w:t>
      </w:r>
      <w:r w:rsidR="00B55772" w:rsidRPr="00CB04B1">
        <w:rPr>
          <w:rFonts w:ascii="Arial" w:eastAsia="Times New Roman" w:hAnsi="Arial" w:cs="Arial"/>
          <w:sz w:val="20"/>
          <w:szCs w:val="20"/>
          <w:lang w:eastAsia="hr-HR"/>
        </w:rPr>
        <w:t>.2024.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iznosi 12.</w:t>
      </w:r>
      <w:r w:rsidR="00477BDD">
        <w:rPr>
          <w:rFonts w:ascii="Arial" w:eastAsia="Times New Roman" w:hAnsi="Arial" w:cs="Arial"/>
          <w:sz w:val="20"/>
          <w:szCs w:val="20"/>
          <w:lang w:eastAsia="hr-HR"/>
        </w:rPr>
        <w:t>187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477BDD">
        <w:rPr>
          <w:rFonts w:ascii="Arial" w:eastAsia="Times New Roman" w:hAnsi="Arial" w:cs="Arial"/>
          <w:sz w:val="20"/>
          <w:szCs w:val="20"/>
          <w:lang w:eastAsia="hr-HR"/>
        </w:rPr>
        <w:t>487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477BDD">
        <w:rPr>
          <w:rFonts w:ascii="Arial" w:eastAsia="Times New Roman" w:hAnsi="Arial" w:cs="Arial"/>
          <w:sz w:val="20"/>
          <w:szCs w:val="20"/>
          <w:lang w:eastAsia="hr-HR"/>
        </w:rPr>
        <w:t>39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 (šifra B001), a sastoji se od nefinancijske imovine 11.</w:t>
      </w:r>
      <w:r w:rsidR="00477BDD">
        <w:rPr>
          <w:rFonts w:ascii="Arial" w:eastAsia="Times New Roman" w:hAnsi="Arial" w:cs="Arial"/>
          <w:sz w:val="20"/>
          <w:szCs w:val="20"/>
          <w:lang w:eastAsia="hr-HR"/>
        </w:rPr>
        <w:t>857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.102,</w:t>
      </w:r>
      <w:r w:rsidR="00477BDD">
        <w:rPr>
          <w:rFonts w:ascii="Arial" w:eastAsia="Times New Roman" w:hAnsi="Arial" w:cs="Arial"/>
          <w:sz w:val="20"/>
          <w:szCs w:val="20"/>
          <w:lang w:eastAsia="hr-HR"/>
        </w:rPr>
        <w:t>50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 (šifra B002) i financijske imovine 3</w:t>
      </w:r>
      <w:r w:rsidR="00477BDD">
        <w:rPr>
          <w:rFonts w:ascii="Arial" w:eastAsia="Times New Roman" w:hAnsi="Arial" w:cs="Arial"/>
          <w:sz w:val="20"/>
          <w:szCs w:val="20"/>
          <w:lang w:eastAsia="hr-HR"/>
        </w:rPr>
        <w:t>00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477BDD">
        <w:rPr>
          <w:rFonts w:ascii="Arial" w:eastAsia="Times New Roman" w:hAnsi="Arial" w:cs="Arial"/>
          <w:sz w:val="20"/>
          <w:szCs w:val="20"/>
          <w:lang w:eastAsia="hr-HR"/>
        </w:rPr>
        <w:t>127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477BDD">
        <w:rPr>
          <w:rFonts w:ascii="Arial" w:eastAsia="Times New Roman" w:hAnsi="Arial" w:cs="Arial"/>
          <w:sz w:val="20"/>
          <w:szCs w:val="20"/>
          <w:lang w:eastAsia="hr-HR"/>
        </w:rPr>
        <w:t>89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 (šifra 1).</w:t>
      </w:r>
    </w:p>
    <w:p w:rsidR="00477BDD" w:rsidRDefault="00477BDD" w:rsidP="00477BD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477BDD" w:rsidRDefault="00885A19" w:rsidP="00885A1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Šifra 022 i 02922 – Postrojenja i oprema iznosi 102.171,79 EUR što je povećanje od 30% u odnosu na prošlu godinu a odnosi se na nabavu novih računala i monitora</w:t>
      </w:r>
    </w:p>
    <w:p w:rsidR="00885A19" w:rsidRDefault="00885A19" w:rsidP="00885A1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Šifra 0222 – Komunikacijska oprema iznosi 167.559,520 EUR što je povećanje od 25% u odnosu na prošlu godinu a odnosi se na nabavu novih projektora za potrebe održavanje izložbi te obnovu sustava video</w:t>
      </w:r>
      <w:r w:rsidR="002B078C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nadzora</w:t>
      </w:r>
    </w:p>
    <w:p w:rsidR="00885A19" w:rsidRDefault="00044338" w:rsidP="00885A1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Šifra 0227 </w:t>
      </w:r>
      <w:r w:rsidR="00133B60">
        <w:rPr>
          <w:rFonts w:ascii="Arial" w:eastAsia="Times New Roman" w:hAnsi="Arial" w:cs="Arial"/>
          <w:sz w:val="20"/>
          <w:szCs w:val="20"/>
          <w:lang w:eastAsia="hr-HR"/>
        </w:rPr>
        <w:t>–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33B60">
        <w:rPr>
          <w:rFonts w:ascii="Arial" w:eastAsia="Times New Roman" w:hAnsi="Arial" w:cs="Arial"/>
          <w:sz w:val="20"/>
          <w:szCs w:val="20"/>
          <w:lang w:eastAsia="hr-HR"/>
        </w:rPr>
        <w:t>Uređaji i strojevi za ostale namjene iznose 51.613,02 EUR u odnosu na prošlu godinu je povećanje od 27% a odnosi se na nabavu stroja za čišćenje i održavanje prostora.</w:t>
      </w:r>
    </w:p>
    <w:p w:rsidR="00133B60" w:rsidRDefault="00133B60" w:rsidP="00885A1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Šifra 129 – Ostala potraživanja iznose 50.317,73 EUR i u odnosu na prošlu godinu su porasla 260% a čine ih potraživanja za naknade koje se refundiraju čija će realizacija biti u 2025. te potraživanja za predujmove – plaćanje po ponudama čija će realizacija biti tijekom 2025. godine.</w:t>
      </w:r>
    </w:p>
    <w:p w:rsidR="00133B60" w:rsidRDefault="00521D70" w:rsidP="00885A1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Šifra 231 – Obveze za zaposlene iznose 163.727,59 EUR i 36% su veće u odnosu na prošlu godinu zbog povećanja osnovice plaća u 2024. te materijalnih primitaka zaposlenih</w:t>
      </w:r>
      <w:r w:rsidR="0076230A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76230A" w:rsidRPr="00885A19" w:rsidRDefault="0076230A" w:rsidP="00885A1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Šifra 232 – Obveze za materijalne rashode iznose 362.217,66 EUR i 67% su veće u odnosu na prošlu godinu </w:t>
      </w:r>
    </w:p>
    <w:p w:rsidR="00477BDD" w:rsidRPr="00CB04B1" w:rsidRDefault="00C23512" w:rsidP="00FF553C">
      <w:pPr>
        <w:spacing w:after="0"/>
        <w:ind w:firstLine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E6089B" w:rsidRPr="00CB04B1" w:rsidRDefault="00E6089B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133238" w:rsidRPr="00CB04B1" w:rsidRDefault="00133238" w:rsidP="00FF553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proofErr w:type="spellStart"/>
      <w:r w:rsidRPr="00CB04B1">
        <w:rPr>
          <w:rFonts w:ascii="Arial" w:eastAsia="Times New Roman" w:hAnsi="Arial" w:cs="Arial"/>
          <w:sz w:val="20"/>
          <w:szCs w:val="20"/>
          <w:lang w:eastAsia="hr-HR"/>
        </w:rPr>
        <w:t>izvanbilančnim</w:t>
      </w:r>
      <w:proofErr w:type="spellEnd"/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zapisima je sadržana i evidencija sudskih sporova u tijeku</w:t>
      </w:r>
      <w:r w:rsidR="00533E9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koji nam potencijalno mogu postati obveze</w:t>
      </w:r>
      <w:r w:rsidR="00852851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o mogućem terećenju sredstava proračuna</w:t>
      </w:r>
      <w:r w:rsidR="00533E9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 narednim godinama, a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koje u nastavku prikazujemo kroz tablični prikaz:</w:t>
      </w:r>
    </w:p>
    <w:p w:rsidR="00133238" w:rsidRPr="00CB04B1" w:rsidRDefault="00133238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675"/>
        <w:gridCol w:w="1418"/>
        <w:gridCol w:w="2126"/>
        <w:gridCol w:w="992"/>
        <w:gridCol w:w="1843"/>
        <w:gridCol w:w="1418"/>
        <w:gridCol w:w="1134"/>
      </w:tblGrid>
      <w:tr w:rsidR="00133238" w:rsidRPr="00CB04B1" w:rsidTr="00FF5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Red.</w:t>
            </w:r>
          </w:p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Tužitelj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Opis spora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Iznos glavnice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Procjena financijskog</w:t>
            </w:r>
          </w:p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učinka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Procijenjeno</w:t>
            </w:r>
          </w:p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vrijeme</w:t>
            </w:r>
          </w:p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odljeva</w:t>
            </w:r>
          </w:p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sredstava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Početak sudskog spora</w:t>
            </w:r>
          </w:p>
        </w:tc>
      </w:tr>
      <w:tr w:rsidR="00133238" w:rsidRPr="00CB04B1" w:rsidTr="00FF5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F553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Benz d.o.o.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 xml:space="preserve">Iseljenje i plaćanje naknade za prostor Arhiva </w:t>
            </w:r>
            <w:proofErr w:type="spellStart"/>
            <w:r w:rsidRPr="00FF553C">
              <w:rPr>
                <w:rFonts w:ascii="Arial" w:hAnsi="Arial" w:cs="Arial"/>
                <w:sz w:val="18"/>
                <w:szCs w:val="18"/>
              </w:rPr>
              <w:t>Tošo</w:t>
            </w:r>
            <w:proofErr w:type="spellEnd"/>
            <w:r w:rsidRPr="00FF55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553C">
              <w:rPr>
                <w:rFonts w:ascii="Arial" w:hAnsi="Arial" w:cs="Arial"/>
                <w:sz w:val="18"/>
                <w:szCs w:val="18"/>
              </w:rPr>
              <w:t>Dabac</w:t>
            </w:r>
            <w:proofErr w:type="spellEnd"/>
            <w:r w:rsidRPr="00FF553C">
              <w:rPr>
                <w:rFonts w:ascii="Arial" w:hAnsi="Arial" w:cs="Arial"/>
                <w:sz w:val="18"/>
                <w:szCs w:val="18"/>
              </w:rPr>
              <w:t>, Ilica 17 (P-1632/2016)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5</w:t>
            </w:r>
            <w:r w:rsidR="00FF553C" w:rsidRPr="00FF553C">
              <w:rPr>
                <w:rFonts w:ascii="Arial" w:hAnsi="Arial" w:cs="Arial"/>
                <w:sz w:val="18"/>
                <w:szCs w:val="18"/>
              </w:rPr>
              <w:t>19</w:t>
            </w:r>
            <w:r w:rsidRPr="00FF553C">
              <w:rPr>
                <w:rFonts w:ascii="Arial" w:hAnsi="Arial" w:cs="Arial"/>
                <w:sz w:val="18"/>
                <w:szCs w:val="18"/>
              </w:rPr>
              <w:t>.</w:t>
            </w:r>
            <w:r w:rsidR="00FF553C" w:rsidRPr="00FF553C">
              <w:rPr>
                <w:rFonts w:ascii="Arial" w:hAnsi="Arial" w:cs="Arial"/>
                <w:sz w:val="18"/>
                <w:szCs w:val="18"/>
              </w:rPr>
              <w:t>851</w:t>
            </w:r>
            <w:r w:rsidRPr="00FF553C">
              <w:rPr>
                <w:rFonts w:ascii="Arial" w:hAnsi="Arial" w:cs="Arial"/>
                <w:sz w:val="18"/>
                <w:szCs w:val="18"/>
              </w:rPr>
              <w:t>,</w:t>
            </w:r>
            <w:r w:rsidR="00FF553C" w:rsidRPr="00FF553C">
              <w:rPr>
                <w:rFonts w:ascii="Arial" w:hAnsi="Arial" w:cs="Arial"/>
                <w:sz w:val="18"/>
                <w:szCs w:val="18"/>
              </w:rPr>
              <w:t>68</w:t>
            </w:r>
            <w:r w:rsidR="00D950BA" w:rsidRPr="00FF5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53C">
              <w:rPr>
                <w:rFonts w:ascii="Arial" w:hAnsi="Arial" w:cs="Arial"/>
                <w:sz w:val="18"/>
                <w:szCs w:val="18"/>
              </w:rPr>
              <w:t>EUR</w:t>
            </w:r>
          </w:p>
          <w:p w:rsidR="00FF553C" w:rsidRPr="00FF553C" w:rsidRDefault="00FF553C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(glavnica+kamate)</w:t>
            </w:r>
          </w:p>
          <w:p w:rsidR="00FF553C" w:rsidRPr="00FF553C" w:rsidRDefault="00FF553C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D950BA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Plaćeno tijekom 2024.</w:t>
            </w:r>
          </w:p>
          <w:p w:rsidR="00D950BA" w:rsidRPr="00FF553C" w:rsidRDefault="00D950BA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2014.</w:t>
            </w:r>
          </w:p>
        </w:tc>
      </w:tr>
      <w:tr w:rsidR="00133238" w:rsidRPr="00CB04B1" w:rsidTr="00FF55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553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F553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Zagrebački plavi d.o.o.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Naknada štete prema ugovoru o zakupu restorana koji je sklopljen 30.5.2016. (p-392/2017)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FF553C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25.387,39 EUR (glavnica + parnični trošak)</w:t>
            </w:r>
          </w:p>
          <w:p w:rsidR="00D950BA" w:rsidRPr="00FF553C" w:rsidRDefault="00D950BA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D950BA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Prvi kvartal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238" w:rsidRPr="00FF553C" w:rsidRDefault="00133238" w:rsidP="00FF553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553C">
              <w:rPr>
                <w:rFonts w:ascii="Arial" w:hAnsi="Arial" w:cs="Arial"/>
                <w:sz w:val="18"/>
                <w:szCs w:val="18"/>
              </w:rPr>
              <w:t>2017.</w:t>
            </w:r>
          </w:p>
        </w:tc>
      </w:tr>
    </w:tbl>
    <w:p w:rsidR="00154496" w:rsidRPr="00CB04B1" w:rsidRDefault="00154496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FF553C" w:rsidRDefault="00FF553C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95694C" w:rsidRPr="00CB04B1" w:rsidRDefault="008F6318" w:rsidP="00FF553C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U </w:t>
      </w:r>
      <w:proofErr w:type="spellStart"/>
      <w:r w:rsidRPr="00CB04B1">
        <w:rPr>
          <w:rFonts w:ascii="Arial" w:eastAsia="Times New Roman" w:hAnsi="Arial" w:cs="Arial"/>
          <w:sz w:val="20"/>
          <w:szCs w:val="20"/>
          <w:lang w:eastAsia="hr-HR"/>
        </w:rPr>
        <w:t>izvanbilančnim</w:t>
      </w:r>
      <w:proofErr w:type="spellEnd"/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zapisima je sadržan </w:t>
      </w:r>
      <w:r w:rsidRPr="00CB04B1">
        <w:rPr>
          <w:rFonts w:ascii="Arial" w:hAnsi="Arial" w:cs="Arial"/>
          <w:bCs/>
          <w:sz w:val="20"/>
          <w:szCs w:val="20"/>
        </w:rPr>
        <w:t>popis ugovornih odnosa koji uz ispunjenje određenih uvjeta mogu postati obveza ili imovina</w:t>
      </w:r>
      <w:r w:rsidR="005834CA" w:rsidRPr="00CB04B1">
        <w:rPr>
          <w:rFonts w:ascii="Arial" w:hAnsi="Arial" w:cs="Arial"/>
          <w:bCs/>
          <w:sz w:val="20"/>
          <w:szCs w:val="20"/>
        </w:rPr>
        <w:t xml:space="preserve"> u iznosu od 28.664,04 EUR</w:t>
      </w:r>
      <w:r w:rsidRPr="00CB04B1">
        <w:rPr>
          <w:rFonts w:ascii="Arial" w:hAnsi="Arial" w:cs="Arial"/>
          <w:bCs/>
          <w:sz w:val="20"/>
          <w:szCs w:val="20"/>
        </w:rPr>
        <w:t xml:space="preserve">.   </w:t>
      </w:r>
    </w:p>
    <w:p w:rsidR="00FF553C" w:rsidRDefault="00FF553C" w:rsidP="00FF553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5694C" w:rsidRPr="00CB04B1" w:rsidRDefault="0095694C" w:rsidP="00FF553C">
      <w:pPr>
        <w:rPr>
          <w:rFonts w:ascii="Arial" w:hAnsi="Arial" w:cs="Arial"/>
          <w:bCs/>
          <w:sz w:val="20"/>
          <w:szCs w:val="20"/>
        </w:rPr>
      </w:pPr>
      <w:r w:rsidRPr="00CB04B1">
        <w:rPr>
          <w:rFonts w:ascii="Arial" w:hAnsi="Arial" w:cs="Arial"/>
          <w:bCs/>
          <w:sz w:val="20"/>
          <w:szCs w:val="20"/>
        </w:rPr>
        <w:t>Popis ugovornih odnosa koji mogu postati obveze:</w:t>
      </w:r>
    </w:p>
    <w:tbl>
      <w:tblPr>
        <w:tblW w:w="8075" w:type="dxa"/>
        <w:tblInd w:w="493" w:type="dxa"/>
        <w:tblLook w:val="04A0"/>
      </w:tblPr>
      <w:tblGrid>
        <w:gridCol w:w="687"/>
        <w:gridCol w:w="1264"/>
        <w:gridCol w:w="1305"/>
        <w:gridCol w:w="1559"/>
        <w:gridCol w:w="3260"/>
      </w:tblGrid>
      <w:tr w:rsidR="0095694C" w:rsidRPr="00CB04B1" w:rsidTr="00183399">
        <w:trPr>
          <w:trHeight w:val="6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39">
              <w:rPr>
                <w:rFonts w:ascii="Arial" w:hAnsi="Arial"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39">
              <w:rPr>
                <w:rFonts w:ascii="Arial" w:hAnsi="Arial" w:cs="Arial"/>
                <w:b/>
                <w:bCs/>
                <w:sz w:val="18"/>
                <w:szCs w:val="18"/>
              </w:rPr>
              <w:t>Datum izdavanja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39">
              <w:rPr>
                <w:rFonts w:ascii="Arial" w:hAnsi="Arial" w:cs="Arial"/>
                <w:b/>
                <w:bCs/>
                <w:sz w:val="18"/>
                <w:szCs w:val="18"/>
              </w:rPr>
              <w:t>Vrsta instrumenta osiguranja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A39">
              <w:rPr>
                <w:rFonts w:ascii="Arial" w:hAnsi="Arial" w:cs="Arial"/>
                <w:b/>
                <w:bCs/>
                <w:sz w:val="18"/>
                <w:szCs w:val="18"/>
              </w:rPr>
              <w:t>Primatelj instrumenta osiguranja</w:t>
            </w:r>
          </w:p>
        </w:tc>
      </w:tr>
      <w:tr w:rsidR="0095694C" w:rsidRPr="00CB04B1" w:rsidTr="00183399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3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39">
              <w:rPr>
                <w:rFonts w:ascii="Arial" w:hAnsi="Arial" w:cs="Arial"/>
                <w:sz w:val="18"/>
                <w:szCs w:val="18"/>
              </w:rPr>
              <w:t>09.11.2022.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39">
              <w:rPr>
                <w:rFonts w:ascii="Arial" w:hAnsi="Arial" w:cs="Arial"/>
                <w:sz w:val="18"/>
                <w:szCs w:val="18"/>
              </w:rPr>
              <w:t>zadužnica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39">
              <w:rPr>
                <w:rFonts w:ascii="Arial" w:hAnsi="Arial" w:cs="Arial"/>
                <w:sz w:val="18"/>
                <w:szCs w:val="18"/>
              </w:rPr>
              <w:t>6.636,14 €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4C" w:rsidRPr="00AE5A39" w:rsidRDefault="0095694C" w:rsidP="00F5718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5A39">
              <w:rPr>
                <w:rFonts w:ascii="Arial" w:hAnsi="Arial" w:cs="Arial"/>
                <w:sz w:val="18"/>
                <w:szCs w:val="18"/>
              </w:rPr>
              <w:t>Ministarstvo prostornog uređenja, graditeljstva i državne imovine</w:t>
            </w:r>
          </w:p>
        </w:tc>
      </w:tr>
    </w:tbl>
    <w:p w:rsidR="00183399" w:rsidRPr="00CB04B1" w:rsidRDefault="00183399" w:rsidP="00F5718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774E21" w:rsidRPr="00CB04B1" w:rsidRDefault="0095694C" w:rsidP="00F5718F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CB04B1">
        <w:rPr>
          <w:rFonts w:ascii="Arial" w:hAnsi="Arial" w:cs="Arial"/>
          <w:bCs/>
          <w:sz w:val="20"/>
          <w:szCs w:val="20"/>
        </w:rPr>
        <w:t>Popis ugovornih odnosa koji mogu postati imovina</w:t>
      </w:r>
      <w:r w:rsidR="00774E21" w:rsidRPr="00CB04B1">
        <w:rPr>
          <w:rFonts w:ascii="Arial" w:hAnsi="Arial" w:cs="Arial"/>
          <w:bCs/>
          <w:sz w:val="20"/>
          <w:szCs w:val="20"/>
        </w:rPr>
        <w:t>:</w:t>
      </w:r>
      <w:r w:rsidR="00774E21" w:rsidRPr="00CB04B1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774E21" w:rsidRPr="00CB04B1" w:rsidRDefault="00774E21" w:rsidP="00F5718F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9"/>
        <w:tblOverlap w:val="never"/>
        <w:tblW w:w="8109" w:type="dxa"/>
        <w:tblLook w:val="04A0"/>
      </w:tblPr>
      <w:tblGrid>
        <w:gridCol w:w="675"/>
        <w:gridCol w:w="1167"/>
        <w:gridCol w:w="1385"/>
        <w:gridCol w:w="1559"/>
        <w:gridCol w:w="3323"/>
      </w:tblGrid>
      <w:tr w:rsidR="00774E21" w:rsidRPr="00CB04B1" w:rsidTr="00AE5A39">
        <w:trPr>
          <w:trHeight w:val="7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Red. Br.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Datum 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instrumenta osiguranja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Iznos 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Davatelj instrumenta osiguranja</w:t>
            </w:r>
          </w:p>
        </w:tc>
      </w:tr>
      <w:tr w:rsidR="00774E21" w:rsidRPr="00CB04B1" w:rsidTr="00AE5A39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06.09.2019.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6.636,14 €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E21" w:rsidRPr="00AE5A39" w:rsidRDefault="00774E21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vura</w:t>
            </w:r>
          </w:p>
        </w:tc>
      </w:tr>
      <w:tr w:rsidR="00AE5A39" w:rsidRPr="00CB04B1" w:rsidTr="00AE5A39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02.08.2024.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zadužnica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2.000,00 €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Nitor</w:t>
            </w:r>
            <w:proofErr w:type="spellEnd"/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media</w:t>
            </w:r>
            <w:proofErr w:type="spellEnd"/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d.o.o.</w:t>
            </w:r>
          </w:p>
        </w:tc>
      </w:tr>
      <w:tr w:rsidR="00AE5A39" w:rsidRPr="00CB04B1" w:rsidTr="00AE5A39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AE5A3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04.09.2024.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garancija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AE5A3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1.533,50 €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A39" w:rsidRPr="00AE5A39" w:rsidRDefault="00AE5A39" w:rsidP="00F57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Schindler</w:t>
            </w:r>
            <w:proofErr w:type="spellEnd"/>
            <w:r w:rsidRPr="00AE5A3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Hrvatska d.o.o.</w:t>
            </w:r>
          </w:p>
        </w:tc>
      </w:tr>
    </w:tbl>
    <w:p w:rsidR="00774E21" w:rsidRPr="00CB04B1" w:rsidRDefault="00774E21" w:rsidP="00F5718F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154496" w:rsidRPr="00CB04B1" w:rsidRDefault="00154496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Bilješke uz obrazac RAS – funkcijski</w:t>
      </w:r>
      <w:r w:rsidRPr="00CB04B1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ab/>
      </w:r>
    </w:p>
    <w:p w:rsidR="00CB116E" w:rsidRPr="00CB04B1" w:rsidRDefault="003A20BC" w:rsidP="006D442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>U obrascu RAS-funkcijski svi troškovi Muzeja suvremene umjetnosti iskazani su u okviru funkcije 082-Službe kulture – stavka 082, razvrstani prema njihovoj namijeni,</w:t>
      </w:r>
      <w:r w:rsidR="00143C0A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a</w:t>
      </w:r>
      <w:r w:rsidR="00154496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vezani</w:t>
      </w:r>
      <w:r w:rsidR="007439E7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54496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uz </w:t>
      </w:r>
      <w:r w:rsidR="007439E7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aktivnosti </w:t>
      </w:r>
      <w:r w:rsidR="0017113B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kao što su: 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>prikupljanje muzejske građe i muzejske dokumentacije iz razdoblja 20. i 21. stoljeća i njihov</w:t>
      </w:r>
      <w:r w:rsidR="0017113B" w:rsidRPr="00CB04B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stručn</w:t>
      </w:r>
      <w:r w:rsidR="0017113B" w:rsidRPr="00CB04B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i znanstven</w:t>
      </w:r>
      <w:r w:rsidR="0017113B" w:rsidRPr="00CB04B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obrad</w:t>
      </w:r>
      <w:r w:rsidR="0017113B" w:rsidRPr="00CB04B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i sistematizacij</w:t>
      </w:r>
      <w:r w:rsidR="0017113B" w:rsidRPr="00CB04B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 zbirke</w:t>
      </w:r>
      <w:r w:rsidR="003E2C62"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154496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>izlaganje predmeta suvremene umjetnosti (slikarstvo, kiparstvo, grafika, plakat, radovi na papiru, objekti, instalacije, ambijenti, arhitektura, dizajn, fotografija, film, video, medijski radovi) i dr</w:t>
      </w:r>
      <w:r w:rsidR="0017113B"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, čuvanje muzejskih predmeta, obavljanje konzervatorsko-restauratorskih radova na muzejskoj građi, digitalizacija muzejske građe, </w:t>
      </w:r>
      <w:r w:rsidR="00154496" w:rsidRPr="00CB04B1">
        <w:rPr>
          <w:rFonts w:ascii="Arial" w:eastAsia="Times New Roman" w:hAnsi="Arial" w:cs="Arial"/>
          <w:sz w:val="20"/>
          <w:szCs w:val="20"/>
          <w:lang w:eastAsia="hr-HR"/>
        </w:rPr>
        <w:t>podršk</w:t>
      </w:r>
      <w:r w:rsidR="000D7FE9" w:rsidRPr="00CB04B1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154496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funkcioniranju kulturnih događaja – koncerti, predstave</w:t>
      </w:r>
      <w:r w:rsidR="00612EBF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1C486C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radionice, </w:t>
      </w:r>
      <w:r w:rsidR="00612EBF" w:rsidRPr="00CB04B1">
        <w:rPr>
          <w:rFonts w:ascii="Arial" w:eastAsia="Times New Roman" w:hAnsi="Arial" w:cs="Arial"/>
          <w:sz w:val="20"/>
          <w:szCs w:val="20"/>
          <w:lang w:eastAsia="hr-HR"/>
        </w:rPr>
        <w:t>izložbe</w:t>
      </w:r>
      <w:r w:rsidR="0046024E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612EBF" w:rsidRPr="00CB04B1">
        <w:rPr>
          <w:rFonts w:ascii="Arial" w:eastAsia="Times New Roman" w:hAnsi="Arial" w:cs="Arial"/>
          <w:sz w:val="20"/>
          <w:szCs w:val="20"/>
          <w:lang w:eastAsia="hr-HR"/>
        </w:rPr>
        <w:t>postavi</w:t>
      </w:r>
      <w:r w:rsidR="00154496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i sl. 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Organizacija</w:t>
      </w:r>
      <w:r w:rsidR="00765B5A"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umjetničkih programa (glazbeni, scenski i dr.), predavanja, tečajeva, simpozija, seminara i sličnih skupova vezanih za područje suvremene umjetnosti.</w:t>
      </w:r>
    </w:p>
    <w:p w:rsidR="00AA4058" w:rsidRPr="00CB04B1" w:rsidRDefault="00AA4058" w:rsidP="00F5718F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1CA2" w:rsidRPr="00CB04B1" w:rsidRDefault="00B11CA2" w:rsidP="00F5718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  <w:r w:rsidRPr="00CB04B1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Bilješke uz obrazac P – VRIO</w:t>
      </w:r>
      <w:r w:rsidRPr="00CB04B1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ab/>
      </w:r>
    </w:p>
    <w:p w:rsidR="006D4422" w:rsidRDefault="006D4422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6D4422" w:rsidRDefault="006D4422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U 2024. </w:t>
      </w:r>
      <w:r w:rsidR="00921532">
        <w:rPr>
          <w:rFonts w:ascii="Arial" w:eastAsia="Times New Roman" w:hAnsi="Arial" w:cs="Arial"/>
          <w:sz w:val="20"/>
          <w:szCs w:val="20"/>
          <w:lang w:eastAsia="hr-HR"/>
        </w:rPr>
        <w:t>n</w:t>
      </w:r>
      <w:r>
        <w:rPr>
          <w:rFonts w:ascii="Arial" w:eastAsia="Times New Roman" w:hAnsi="Arial" w:cs="Arial"/>
          <w:sz w:val="20"/>
          <w:szCs w:val="20"/>
          <w:lang w:eastAsia="hr-HR"/>
        </w:rPr>
        <w:t>ije zabilježeno smanjenje u obujmu imovine.</w:t>
      </w:r>
      <w:r w:rsidR="00B11CA2" w:rsidRPr="00CB04B1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AA4058" w:rsidRPr="00CB04B1" w:rsidRDefault="00AA4058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11CA2" w:rsidRPr="00CB04B1" w:rsidRDefault="00CB116E" w:rsidP="00F571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CB04B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 xml:space="preserve">Bilješke uz </w:t>
      </w:r>
      <w:r w:rsidR="00B11CA2" w:rsidRPr="00CB04B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Obrazac OBVEZE</w:t>
      </w:r>
    </w:p>
    <w:p w:rsidR="006D4422" w:rsidRDefault="006D4422" w:rsidP="006D442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D273A3" w:rsidRPr="00D273A3" w:rsidRDefault="00621600" w:rsidP="00D273A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Obveze (šifra V006) iznose 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555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988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89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EUR, a sastoje se od rashoda za zaposlene u iznosu od 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163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727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59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EUR, obveza za materijalne rashode u iznosu od 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362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217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66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EUR, ostale tekuće obveze u iznosu od 1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146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25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 i obveza za nabavu nefinancijske imovine u iznosu od 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12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897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>36</w:t>
      </w:r>
      <w:r w:rsidRPr="00CB04B1">
        <w:rPr>
          <w:rFonts w:ascii="Arial" w:eastAsia="Times New Roman" w:hAnsi="Arial" w:cs="Arial"/>
          <w:sz w:val="20"/>
          <w:szCs w:val="20"/>
          <w:lang w:eastAsia="hr-HR"/>
        </w:rPr>
        <w:t xml:space="preserve"> EUR.</w:t>
      </w:r>
      <w:r w:rsidR="00D273A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273A3" w:rsidRPr="00D273A3">
        <w:rPr>
          <w:rFonts w:ascii="Arial" w:eastAsia="Times New Roman" w:hAnsi="Arial" w:cs="Arial"/>
          <w:sz w:val="20"/>
          <w:szCs w:val="20"/>
          <w:lang w:eastAsia="hr-HR"/>
        </w:rPr>
        <w:t>Stanje nedospjelih obveza za rashode poslovanja odnosi se na nedospjele račune za prosinac 2024.</w:t>
      </w:r>
    </w:p>
    <w:p w:rsidR="00D273A3" w:rsidRDefault="00D273A3" w:rsidP="006D442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439E7" w:rsidRPr="00CB04B1" w:rsidRDefault="007439E7" w:rsidP="00F5718F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112D" w:rsidRPr="00CB04B1" w:rsidRDefault="0073112D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112D" w:rsidRPr="00CB04B1" w:rsidRDefault="0073112D" w:rsidP="00F5718F">
      <w:pPr>
        <w:spacing w:after="0"/>
        <w:rPr>
          <w:rFonts w:ascii="Arial" w:hAnsi="Arial" w:cs="Arial"/>
          <w:sz w:val="20"/>
          <w:szCs w:val="20"/>
        </w:rPr>
      </w:pPr>
      <w:r w:rsidRPr="00CB04B1">
        <w:rPr>
          <w:rFonts w:ascii="Arial" w:hAnsi="Arial" w:cs="Arial"/>
          <w:sz w:val="20"/>
          <w:szCs w:val="20"/>
        </w:rPr>
        <w:t>Osoba za kontaktiranje:</w:t>
      </w:r>
      <w:r w:rsidR="00D273A3">
        <w:rPr>
          <w:rFonts w:ascii="Arial" w:hAnsi="Arial" w:cs="Arial"/>
          <w:sz w:val="20"/>
          <w:szCs w:val="20"/>
        </w:rPr>
        <w:tab/>
      </w:r>
      <w:r w:rsidR="00D273A3">
        <w:rPr>
          <w:rFonts w:ascii="Arial" w:hAnsi="Arial" w:cs="Arial"/>
          <w:sz w:val="20"/>
          <w:szCs w:val="20"/>
        </w:rPr>
        <w:tab/>
      </w:r>
      <w:r w:rsidR="00D273A3">
        <w:rPr>
          <w:rFonts w:ascii="Arial" w:hAnsi="Arial" w:cs="Arial"/>
          <w:sz w:val="20"/>
          <w:szCs w:val="20"/>
        </w:rPr>
        <w:tab/>
      </w:r>
      <w:r w:rsidR="00D273A3">
        <w:rPr>
          <w:rFonts w:ascii="Arial" w:hAnsi="Arial" w:cs="Arial"/>
          <w:sz w:val="20"/>
          <w:szCs w:val="20"/>
        </w:rPr>
        <w:tab/>
      </w:r>
      <w:r w:rsidR="00D273A3">
        <w:rPr>
          <w:rFonts w:ascii="Arial" w:hAnsi="Arial" w:cs="Arial"/>
          <w:sz w:val="20"/>
          <w:szCs w:val="20"/>
        </w:rPr>
        <w:tab/>
      </w:r>
      <w:r w:rsidR="00D273A3">
        <w:rPr>
          <w:rFonts w:ascii="Arial" w:hAnsi="Arial" w:cs="Arial"/>
          <w:sz w:val="20"/>
          <w:szCs w:val="20"/>
        </w:rPr>
        <w:tab/>
      </w:r>
      <w:r w:rsidR="00480870" w:rsidRPr="00CB04B1">
        <w:rPr>
          <w:rFonts w:ascii="Arial" w:hAnsi="Arial" w:cs="Arial"/>
          <w:sz w:val="20"/>
          <w:szCs w:val="20"/>
        </w:rPr>
        <w:t>Ravnateljica</w:t>
      </w:r>
      <w:r w:rsidRPr="00CB04B1">
        <w:rPr>
          <w:rFonts w:ascii="Arial" w:hAnsi="Arial" w:cs="Arial"/>
          <w:sz w:val="20"/>
          <w:szCs w:val="20"/>
        </w:rPr>
        <w:t>:</w:t>
      </w:r>
    </w:p>
    <w:p w:rsidR="0073112D" w:rsidRPr="00CB04B1" w:rsidRDefault="00D273A3" w:rsidP="00F571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Jasminka-Marija </w:t>
      </w:r>
      <w:proofErr w:type="spellStart"/>
      <w:r>
        <w:rPr>
          <w:rFonts w:ascii="Arial" w:hAnsi="Arial" w:cs="Arial"/>
          <w:sz w:val="20"/>
          <w:szCs w:val="20"/>
        </w:rPr>
        <w:t>Percaić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0870" w:rsidRPr="00CB04B1">
        <w:rPr>
          <w:rFonts w:ascii="Arial" w:hAnsi="Arial" w:cs="Arial"/>
          <w:sz w:val="20"/>
          <w:szCs w:val="20"/>
        </w:rPr>
        <w:t xml:space="preserve">Vesna </w:t>
      </w:r>
      <w:proofErr w:type="spellStart"/>
      <w:r w:rsidR="00480870" w:rsidRPr="00CB04B1">
        <w:rPr>
          <w:rFonts w:ascii="Arial" w:hAnsi="Arial" w:cs="Arial"/>
          <w:sz w:val="20"/>
          <w:szCs w:val="20"/>
        </w:rPr>
        <w:t>Meštrić</w:t>
      </w:r>
      <w:proofErr w:type="spellEnd"/>
    </w:p>
    <w:p w:rsidR="0073112D" w:rsidRPr="00CB04B1" w:rsidRDefault="0073112D" w:rsidP="00F5718F">
      <w:pPr>
        <w:spacing w:after="0"/>
        <w:rPr>
          <w:rFonts w:ascii="Arial" w:hAnsi="Arial" w:cs="Arial"/>
          <w:sz w:val="20"/>
          <w:szCs w:val="20"/>
        </w:rPr>
      </w:pPr>
      <w:r w:rsidRPr="00CB04B1">
        <w:rPr>
          <w:rFonts w:ascii="Arial" w:hAnsi="Arial" w:cs="Arial"/>
          <w:sz w:val="20"/>
          <w:szCs w:val="20"/>
        </w:rPr>
        <w:t>Voditeljica računovodstva</w:t>
      </w:r>
      <w:r w:rsidRPr="00CB04B1">
        <w:rPr>
          <w:rFonts w:ascii="Arial" w:hAnsi="Arial" w:cs="Arial"/>
          <w:sz w:val="20"/>
          <w:szCs w:val="20"/>
        </w:rPr>
        <w:tab/>
      </w:r>
      <w:r w:rsidRPr="00CB04B1">
        <w:rPr>
          <w:rFonts w:ascii="Arial" w:hAnsi="Arial" w:cs="Arial"/>
          <w:sz w:val="20"/>
          <w:szCs w:val="20"/>
        </w:rPr>
        <w:tab/>
      </w:r>
      <w:r w:rsidRPr="00CB04B1">
        <w:rPr>
          <w:rFonts w:ascii="Arial" w:hAnsi="Arial" w:cs="Arial"/>
          <w:sz w:val="20"/>
          <w:szCs w:val="20"/>
        </w:rPr>
        <w:tab/>
      </w:r>
      <w:r w:rsidRPr="00CB04B1">
        <w:rPr>
          <w:rFonts w:ascii="Arial" w:hAnsi="Arial" w:cs="Arial"/>
          <w:sz w:val="20"/>
          <w:szCs w:val="20"/>
        </w:rPr>
        <w:tab/>
        <w:t xml:space="preserve">    </w:t>
      </w:r>
      <w:r w:rsidRPr="00CB04B1">
        <w:rPr>
          <w:rFonts w:ascii="Arial" w:hAnsi="Arial" w:cs="Arial"/>
          <w:sz w:val="20"/>
          <w:szCs w:val="20"/>
        </w:rPr>
        <w:tab/>
      </w:r>
      <w:r w:rsidRPr="00CB04B1">
        <w:rPr>
          <w:rFonts w:ascii="Arial" w:hAnsi="Arial" w:cs="Arial"/>
          <w:sz w:val="20"/>
          <w:szCs w:val="20"/>
        </w:rPr>
        <w:tab/>
        <w:t xml:space="preserve">           </w:t>
      </w:r>
    </w:p>
    <w:p w:rsidR="0073112D" w:rsidRPr="00CB04B1" w:rsidRDefault="0073112D" w:rsidP="00F5718F">
      <w:pPr>
        <w:spacing w:after="0"/>
        <w:rPr>
          <w:rFonts w:ascii="Arial" w:hAnsi="Arial" w:cs="Arial"/>
          <w:sz w:val="20"/>
          <w:szCs w:val="20"/>
        </w:rPr>
      </w:pPr>
      <w:r w:rsidRPr="00CB04B1">
        <w:rPr>
          <w:rFonts w:ascii="Arial" w:hAnsi="Arial" w:cs="Arial"/>
          <w:sz w:val="20"/>
          <w:szCs w:val="20"/>
        </w:rPr>
        <w:t>Tel. 01</w:t>
      </w:r>
      <w:r w:rsidR="00AE3535" w:rsidRPr="00CB04B1">
        <w:rPr>
          <w:rFonts w:ascii="Arial" w:hAnsi="Arial" w:cs="Arial"/>
          <w:sz w:val="20"/>
          <w:szCs w:val="20"/>
        </w:rPr>
        <w:t>/</w:t>
      </w:r>
      <w:r w:rsidRPr="00CB04B1">
        <w:rPr>
          <w:rFonts w:ascii="Arial" w:hAnsi="Arial" w:cs="Arial"/>
          <w:sz w:val="20"/>
          <w:szCs w:val="20"/>
        </w:rPr>
        <w:t>6052</w:t>
      </w:r>
      <w:r w:rsidR="00AE3535" w:rsidRPr="00CB04B1">
        <w:rPr>
          <w:rFonts w:ascii="Arial" w:hAnsi="Arial" w:cs="Arial"/>
          <w:sz w:val="20"/>
          <w:szCs w:val="20"/>
        </w:rPr>
        <w:t>-</w:t>
      </w:r>
      <w:r w:rsidRPr="00CB04B1">
        <w:rPr>
          <w:rFonts w:ascii="Arial" w:hAnsi="Arial" w:cs="Arial"/>
          <w:sz w:val="20"/>
          <w:szCs w:val="20"/>
        </w:rPr>
        <w:t>707</w:t>
      </w:r>
    </w:p>
    <w:p w:rsidR="0073112D" w:rsidRPr="00CB04B1" w:rsidRDefault="0073112D" w:rsidP="00F571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C2733C" w:rsidRPr="00CB04B1" w:rsidRDefault="00C2733C" w:rsidP="00F5718F">
      <w:pPr>
        <w:spacing w:after="0"/>
        <w:ind w:firstLine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FF5A05" w:rsidRPr="00CB04B1" w:rsidRDefault="00FF5A05" w:rsidP="00F5718F">
      <w:pPr>
        <w:spacing w:after="0"/>
        <w:ind w:firstLine="36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F5A05" w:rsidRPr="00CB04B1" w:rsidRDefault="00FF5A05" w:rsidP="00F5718F">
      <w:pPr>
        <w:spacing w:after="0"/>
        <w:ind w:firstLine="360"/>
        <w:rPr>
          <w:rFonts w:ascii="Arial" w:eastAsia="Times New Roman" w:hAnsi="Arial" w:cs="Arial"/>
          <w:sz w:val="20"/>
          <w:szCs w:val="20"/>
          <w:lang w:eastAsia="hr-HR"/>
        </w:rPr>
      </w:pPr>
    </w:p>
    <w:p w:rsidR="009756EF" w:rsidRPr="00CB04B1" w:rsidRDefault="009756EF" w:rsidP="00F5718F">
      <w:pPr>
        <w:rPr>
          <w:rFonts w:ascii="Arial" w:hAnsi="Arial" w:cs="Arial"/>
          <w:sz w:val="20"/>
          <w:szCs w:val="20"/>
        </w:rPr>
      </w:pPr>
    </w:p>
    <w:sectPr w:rsidR="009756EF" w:rsidRPr="00CB04B1" w:rsidSect="00401214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4B" w:rsidRDefault="0049794B" w:rsidP="008A51F2">
      <w:pPr>
        <w:spacing w:after="0" w:line="240" w:lineRule="auto"/>
      </w:pPr>
      <w:r>
        <w:separator/>
      </w:r>
    </w:p>
  </w:endnote>
  <w:endnote w:type="continuationSeparator" w:id="0">
    <w:p w:rsidR="0049794B" w:rsidRDefault="0049794B" w:rsidP="008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169219"/>
      <w:docPartObj>
        <w:docPartGallery w:val="Page Numbers (Bottom of Page)"/>
        <w:docPartUnique/>
      </w:docPartObj>
    </w:sdtPr>
    <w:sdtContent>
      <w:p w:rsidR="0076230A" w:rsidRDefault="0076230A">
        <w:pPr>
          <w:pStyle w:val="Footer"/>
          <w:jc w:val="right"/>
        </w:pPr>
        <w:fldSimple w:instr=" PAGE   \* MERGEFORMAT ">
          <w:r w:rsidR="00401214">
            <w:rPr>
              <w:noProof/>
            </w:rPr>
            <w:t>4</w:t>
          </w:r>
        </w:fldSimple>
      </w:p>
    </w:sdtContent>
  </w:sdt>
  <w:p w:rsidR="0076230A" w:rsidRDefault="00762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4B" w:rsidRDefault="0049794B" w:rsidP="008A51F2">
      <w:pPr>
        <w:spacing w:after="0" w:line="240" w:lineRule="auto"/>
      </w:pPr>
      <w:r>
        <w:separator/>
      </w:r>
    </w:p>
  </w:footnote>
  <w:footnote w:type="continuationSeparator" w:id="0">
    <w:p w:rsidR="0049794B" w:rsidRDefault="0049794B" w:rsidP="008A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C06"/>
    <w:multiLevelType w:val="hybridMultilevel"/>
    <w:tmpl w:val="F1F62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F0D"/>
    <w:multiLevelType w:val="hybridMultilevel"/>
    <w:tmpl w:val="DA4AE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0BAE"/>
    <w:multiLevelType w:val="hybridMultilevel"/>
    <w:tmpl w:val="9F145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46FF1"/>
    <w:multiLevelType w:val="hybridMultilevel"/>
    <w:tmpl w:val="90E2B818"/>
    <w:lvl w:ilvl="0" w:tplc="12A6C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93D80"/>
    <w:multiLevelType w:val="hybridMultilevel"/>
    <w:tmpl w:val="AE846EBC"/>
    <w:lvl w:ilvl="0" w:tplc="12A6C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16A07"/>
    <w:multiLevelType w:val="hybridMultilevel"/>
    <w:tmpl w:val="BFEA2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7B3F"/>
    <w:multiLevelType w:val="hybridMultilevel"/>
    <w:tmpl w:val="4CDE3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5B54"/>
    <w:multiLevelType w:val="hybridMultilevel"/>
    <w:tmpl w:val="F5C08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20C9D"/>
    <w:multiLevelType w:val="hybridMultilevel"/>
    <w:tmpl w:val="8B52521E"/>
    <w:lvl w:ilvl="0" w:tplc="9F30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732F4"/>
    <w:multiLevelType w:val="hybridMultilevel"/>
    <w:tmpl w:val="D12E67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DB76FE"/>
    <w:multiLevelType w:val="hybridMultilevel"/>
    <w:tmpl w:val="67221F5E"/>
    <w:lvl w:ilvl="0" w:tplc="9F307C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A01F2"/>
    <w:multiLevelType w:val="hybridMultilevel"/>
    <w:tmpl w:val="26C49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84AA0"/>
    <w:multiLevelType w:val="hybridMultilevel"/>
    <w:tmpl w:val="3912F8B0"/>
    <w:lvl w:ilvl="0" w:tplc="12A6CE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639"/>
    <w:rsid w:val="00044338"/>
    <w:rsid w:val="00070FBB"/>
    <w:rsid w:val="000829F9"/>
    <w:rsid w:val="0008714F"/>
    <w:rsid w:val="00092FBF"/>
    <w:rsid w:val="00096EFF"/>
    <w:rsid w:val="000A0453"/>
    <w:rsid w:val="000B40DD"/>
    <w:rsid w:val="000B4EF5"/>
    <w:rsid w:val="000B4F5D"/>
    <w:rsid w:val="000B50C6"/>
    <w:rsid w:val="000D1708"/>
    <w:rsid w:val="000D7FE9"/>
    <w:rsid w:val="000E20C6"/>
    <w:rsid w:val="000F7DA6"/>
    <w:rsid w:val="00103E68"/>
    <w:rsid w:val="00107E72"/>
    <w:rsid w:val="00115A38"/>
    <w:rsid w:val="00133238"/>
    <w:rsid w:val="00133B60"/>
    <w:rsid w:val="00134A6F"/>
    <w:rsid w:val="00137921"/>
    <w:rsid w:val="00143C0A"/>
    <w:rsid w:val="00145A44"/>
    <w:rsid w:val="00154496"/>
    <w:rsid w:val="001622DB"/>
    <w:rsid w:val="00164568"/>
    <w:rsid w:val="00165E2B"/>
    <w:rsid w:val="0017113B"/>
    <w:rsid w:val="00176361"/>
    <w:rsid w:val="001817A0"/>
    <w:rsid w:val="00182033"/>
    <w:rsid w:val="00183399"/>
    <w:rsid w:val="001A5649"/>
    <w:rsid w:val="001A7EF2"/>
    <w:rsid w:val="001B1536"/>
    <w:rsid w:val="001B71A9"/>
    <w:rsid w:val="001C17B0"/>
    <w:rsid w:val="001C2931"/>
    <w:rsid w:val="001C486C"/>
    <w:rsid w:val="001C5932"/>
    <w:rsid w:val="001D6076"/>
    <w:rsid w:val="001E5958"/>
    <w:rsid w:val="001E72E4"/>
    <w:rsid w:val="001E72F3"/>
    <w:rsid w:val="001F1EFA"/>
    <w:rsid w:val="001F6E00"/>
    <w:rsid w:val="001F70E6"/>
    <w:rsid w:val="00206F77"/>
    <w:rsid w:val="0024092E"/>
    <w:rsid w:val="00247218"/>
    <w:rsid w:val="0025042B"/>
    <w:rsid w:val="0025318E"/>
    <w:rsid w:val="002662D7"/>
    <w:rsid w:val="002672C4"/>
    <w:rsid w:val="00277835"/>
    <w:rsid w:val="00295DE8"/>
    <w:rsid w:val="002A2C9A"/>
    <w:rsid w:val="002A57D5"/>
    <w:rsid w:val="002B078C"/>
    <w:rsid w:val="002B709F"/>
    <w:rsid w:val="002D13BA"/>
    <w:rsid w:val="002D3A72"/>
    <w:rsid w:val="002F51C5"/>
    <w:rsid w:val="0031348C"/>
    <w:rsid w:val="00320ABA"/>
    <w:rsid w:val="00334C36"/>
    <w:rsid w:val="0034347C"/>
    <w:rsid w:val="003504C8"/>
    <w:rsid w:val="00356587"/>
    <w:rsid w:val="00377128"/>
    <w:rsid w:val="00380652"/>
    <w:rsid w:val="00386D9B"/>
    <w:rsid w:val="003953D3"/>
    <w:rsid w:val="003A1134"/>
    <w:rsid w:val="003A20BC"/>
    <w:rsid w:val="003A7F37"/>
    <w:rsid w:val="003B1931"/>
    <w:rsid w:val="003D34FB"/>
    <w:rsid w:val="003D41D7"/>
    <w:rsid w:val="003E2C62"/>
    <w:rsid w:val="00400DF4"/>
    <w:rsid w:val="00401214"/>
    <w:rsid w:val="0040799E"/>
    <w:rsid w:val="00410D64"/>
    <w:rsid w:val="004218CD"/>
    <w:rsid w:val="00424CA1"/>
    <w:rsid w:val="004375D0"/>
    <w:rsid w:val="00444AB9"/>
    <w:rsid w:val="00455FC6"/>
    <w:rsid w:val="0046024E"/>
    <w:rsid w:val="00460FA1"/>
    <w:rsid w:val="00475A1D"/>
    <w:rsid w:val="00477BDD"/>
    <w:rsid w:val="00480870"/>
    <w:rsid w:val="004841EA"/>
    <w:rsid w:val="00490081"/>
    <w:rsid w:val="0049794B"/>
    <w:rsid w:val="004B2DA6"/>
    <w:rsid w:val="004C4FE7"/>
    <w:rsid w:val="004C6A08"/>
    <w:rsid w:val="004E114D"/>
    <w:rsid w:val="005019DA"/>
    <w:rsid w:val="00521D70"/>
    <w:rsid w:val="005234ED"/>
    <w:rsid w:val="00525581"/>
    <w:rsid w:val="00532E85"/>
    <w:rsid w:val="005333D1"/>
    <w:rsid w:val="00533E9E"/>
    <w:rsid w:val="00555A7E"/>
    <w:rsid w:val="005601BD"/>
    <w:rsid w:val="00563FA1"/>
    <w:rsid w:val="00564FD8"/>
    <w:rsid w:val="0058107A"/>
    <w:rsid w:val="005834CA"/>
    <w:rsid w:val="00595D95"/>
    <w:rsid w:val="00596D28"/>
    <w:rsid w:val="005A2B27"/>
    <w:rsid w:val="005B2886"/>
    <w:rsid w:val="005E346C"/>
    <w:rsid w:val="00600960"/>
    <w:rsid w:val="006026D2"/>
    <w:rsid w:val="00607D89"/>
    <w:rsid w:val="00612EBF"/>
    <w:rsid w:val="00621600"/>
    <w:rsid w:val="00632676"/>
    <w:rsid w:val="0065609E"/>
    <w:rsid w:val="00661E71"/>
    <w:rsid w:val="00675E64"/>
    <w:rsid w:val="00680A39"/>
    <w:rsid w:val="00681276"/>
    <w:rsid w:val="0068138C"/>
    <w:rsid w:val="00684AE8"/>
    <w:rsid w:val="006919F2"/>
    <w:rsid w:val="006A7394"/>
    <w:rsid w:val="006B3564"/>
    <w:rsid w:val="006B463B"/>
    <w:rsid w:val="006D4422"/>
    <w:rsid w:val="00706644"/>
    <w:rsid w:val="007274EE"/>
    <w:rsid w:val="0073112D"/>
    <w:rsid w:val="007439E7"/>
    <w:rsid w:val="00755A6B"/>
    <w:rsid w:val="0076230A"/>
    <w:rsid w:val="00765B5A"/>
    <w:rsid w:val="00766336"/>
    <w:rsid w:val="007664C2"/>
    <w:rsid w:val="0076721A"/>
    <w:rsid w:val="007704E4"/>
    <w:rsid w:val="0077115D"/>
    <w:rsid w:val="00771E65"/>
    <w:rsid w:val="00774E21"/>
    <w:rsid w:val="007A2020"/>
    <w:rsid w:val="007B6D83"/>
    <w:rsid w:val="007C170C"/>
    <w:rsid w:val="007C4AA2"/>
    <w:rsid w:val="007D2512"/>
    <w:rsid w:val="007E2ABF"/>
    <w:rsid w:val="007E7F84"/>
    <w:rsid w:val="007F33FE"/>
    <w:rsid w:val="00813B8E"/>
    <w:rsid w:val="00821639"/>
    <w:rsid w:val="00831127"/>
    <w:rsid w:val="00831BB9"/>
    <w:rsid w:val="008320ED"/>
    <w:rsid w:val="008370CD"/>
    <w:rsid w:val="00851976"/>
    <w:rsid w:val="00852851"/>
    <w:rsid w:val="0086458C"/>
    <w:rsid w:val="00874987"/>
    <w:rsid w:val="00885A19"/>
    <w:rsid w:val="00892698"/>
    <w:rsid w:val="00895E6F"/>
    <w:rsid w:val="008A110D"/>
    <w:rsid w:val="008A25EB"/>
    <w:rsid w:val="008A51F2"/>
    <w:rsid w:val="008B1BF9"/>
    <w:rsid w:val="008B2828"/>
    <w:rsid w:val="008B46D2"/>
    <w:rsid w:val="008C71BB"/>
    <w:rsid w:val="008E442B"/>
    <w:rsid w:val="008F6318"/>
    <w:rsid w:val="008F71D3"/>
    <w:rsid w:val="009004BB"/>
    <w:rsid w:val="009040AB"/>
    <w:rsid w:val="00915207"/>
    <w:rsid w:val="00921532"/>
    <w:rsid w:val="00935342"/>
    <w:rsid w:val="00942E57"/>
    <w:rsid w:val="00947584"/>
    <w:rsid w:val="0095694C"/>
    <w:rsid w:val="0096240C"/>
    <w:rsid w:val="009643DE"/>
    <w:rsid w:val="009749AF"/>
    <w:rsid w:val="009756EF"/>
    <w:rsid w:val="00997BF9"/>
    <w:rsid w:val="009A7DA9"/>
    <w:rsid w:val="009B11B4"/>
    <w:rsid w:val="009B6682"/>
    <w:rsid w:val="009F548E"/>
    <w:rsid w:val="00A041DF"/>
    <w:rsid w:val="00A21BA9"/>
    <w:rsid w:val="00A26B06"/>
    <w:rsid w:val="00A34599"/>
    <w:rsid w:val="00A37B13"/>
    <w:rsid w:val="00A5514F"/>
    <w:rsid w:val="00A563A1"/>
    <w:rsid w:val="00A57423"/>
    <w:rsid w:val="00A639AE"/>
    <w:rsid w:val="00A651DA"/>
    <w:rsid w:val="00A80485"/>
    <w:rsid w:val="00A83634"/>
    <w:rsid w:val="00AA4058"/>
    <w:rsid w:val="00AA4A74"/>
    <w:rsid w:val="00AB70A4"/>
    <w:rsid w:val="00AD3FD2"/>
    <w:rsid w:val="00AE3535"/>
    <w:rsid w:val="00AE56A6"/>
    <w:rsid w:val="00AE5A39"/>
    <w:rsid w:val="00AE63A2"/>
    <w:rsid w:val="00B11CA2"/>
    <w:rsid w:val="00B42568"/>
    <w:rsid w:val="00B51841"/>
    <w:rsid w:val="00B547ED"/>
    <w:rsid w:val="00B55772"/>
    <w:rsid w:val="00B641DC"/>
    <w:rsid w:val="00B661CB"/>
    <w:rsid w:val="00B75051"/>
    <w:rsid w:val="00B800D2"/>
    <w:rsid w:val="00B810B5"/>
    <w:rsid w:val="00B947F1"/>
    <w:rsid w:val="00BA1F38"/>
    <w:rsid w:val="00BA2799"/>
    <w:rsid w:val="00BB0199"/>
    <w:rsid w:val="00BC19D5"/>
    <w:rsid w:val="00BC271F"/>
    <w:rsid w:val="00BD2F16"/>
    <w:rsid w:val="00BD4BA9"/>
    <w:rsid w:val="00BD5A1F"/>
    <w:rsid w:val="00BE2923"/>
    <w:rsid w:val="00BF3C9F"/>
    <w:rsid w:val="00BF4CB1"/>
    <w:rsid w:val="00C23512"/>
    <w:rsid w:val="00C238CE"/>
    <w:rsid w:val="00C2733C"/>
    <w:rsid w:val="00C46267"/>
    <w:rsid w:val="00C571B8"/>
    <w:rsid w:val="00C65880"/>
    <w:rsid w:val="00C74C33"/>
    <w:rsid w:val="00C9466D"/>
    <w:rsid w:val="00C9591A"/>
    <w:rsid w:val="00CB04B1"/>
    <w:rsid w:val="00CB116E"/>
    <w:rsid w:val="00CB2D9B"/>
    <w:rsid w:val="00CB4FA2"/>
    <w:rsid w:val="00CE540C"/>
    <w:rsid w:val="00CE5BBD"/>
    <w:rsid w:val="00CF6CEC"/>
    <w:rsid w:val="00D00054"/>
    <w:rsid w:val="00D078CB"/>
    <w:rsid w:val="00D12742"/>
    <w:rsid w:val="00D273A3"/>
    <w:rsid w:val="00D30CF9"/>
    <w:rsid w:val="00D367A8"/>
    <w:rsid w:val="00D4557D"/>
    <w:rsid w:val="00D574B9"/>
    <w:rsid w:val="00D6726B"/>
    <w:rsid w:val="00D74484"/>
    <w:rsid w:val="00D8304F"/>
    <w:rsid w:val="00D950BA"/>
    <w:rsid w:val="00DA6426"/>
    <w:rsid w:val="00DB0E12"/>
    <w:rsid w:val="00DB124D"/>
    <w:rsid w:val="00DB56A7"/>
    <w:rsid w:val="00DE5E90"/>
    <w:rsid w:val="00DF319D"/>
    <w:rsid w:val="00DF383E"/>
    <w:rsid w:val="00E01E77"/>
    <w:rsid w:val="00E13B34"/>
    <w:rsid w:val="00E20315"/>
    <w:rsid w:val="00E21BE1"/>
    <w:rsid w:val="00E248B7"/>
    <w:rsid w:val="00E31122"/>
    <w:rsid w:val="00E312EC"/>
    <w:rsid w:val="00E33413"/>
    <w:rsid w:val="00E41155"/>
    <w:rsid w:val="00E602C8"/>
    <w:rsid w:val="00E6089B"/>
    <w:rsid w:val="00E61B0C"/>
    <w:rsid w:val="00E63FB7"/>
    <w:rsid w:val="00E7049B"/>
    <w:rsid w:val="00E862F4"/>
    <w:rsid w:val="00E920BB"/>
    <w:rsid w:val="00E9235F"/>
    <w:rsid w:val="00E92E92"/>
    <w:rsid w:val="00E92FE6"/>
    <w:rsid w:val="00EA086A"/>
    <w:rsid w:val="00EA3EFC"/>
    <w:rsid w:val="00EA5195"/>
    <w:rsid w:val="00EA62DA"/>
    <w:rsid w:val="00EB5004"/>
    <w:rsid w:val="00EF474F"/>
    <w:rsid w:val="00EF6A2D"/>
    <w:rsid w:val="00F04D13"/>
    <w:rsid w:val="00F122B5"/>
    <w:rsid w:val="00F145D4"/>
    <w:rsid w:val="00F15703"/>
    <w:rsid w:val="00F2180E"/>
    <w:rsid w:val="00F22647"/>
    <w:rsid w:val="00F30D5D"/>
    <w:rsid w:val="00F31048"/>
    <w:rsid w:val="00F315E7"/>
    <w:rsid w:val="00F41225"/>
    <w:rsid w:val="00F41398"/>
    <w:rsid w:val="00F41700"/>
    <w:rsid w:val="00F45D0D"/>
    <w:rsid w:val="00F562A9"/>
    <w:rsid w:val="00F5718F"/>
    <w:rsid w:val="00F57E0E"/>
    <w:rsid w:val="00F63A21"/>
    <w:rsid w:val="00F63C7D"/>
    <w:rsid w:val="00F64F66"/>
    <w:rsid w:val="00F84676"/>
    <w:rsid w:val="00F90977"/>
    <w:rsid w:val="00FA3907"/>
    <w:rsid w:val="00FB6ACA"/>
    <w:rsid w:val="00FC27F7"/>
    <w:rsid w:val="00FC38FB"/>
    <w:rsid w:val="00FD4535"/>
    <w:rsid w:val="00FE06EF"/>
    <w:rsid w:val="00FE13C7"/>
    <w:rsid w:val="00FE14AA"/>
    <w:rsid w:val="00FE2598"/>
    <w:rsid w:val="00FF1730"/>
    <w:rsid w:val="00FF553C"/>
    <w:rsid w:val="00FF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1F2"/>
  </w:style>
  <w:style w:type="paragraph" w:styleId="Footer">
    <w:name w:val="footer"/>
    <w:basedOn w:val="Normal"/>
    <w:link w:val="FooterChar"/>
    <w:uiPriority w:val="99"/>
    <w:unhideWhenUsed/>
    <w:rsid w:val="008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F2"/>
  </w:style>
  <w:style w:type="table" w:styleId="TableGrid">
    <w:name w:val="Table Grid"/>
    <w:basedOn w:val="TableNormal"/>
    <w:uiPriority w:val="59"/>
    <w:rsid w:val="00133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telmazovski</dc:creator>
  <cp:lastModifiedBy>Jasminka Marija Percaic</cp:lastModifiedBy>
  <cp:revision>203</cp:revision>
  <cp:lastPrinted>2025-01-31T10:10:00Z</cp:lastPrinted>
  <dcterms:created xsi:type="dcterms:W3CDTF">2023-07-07T07:19:00Z</dcterms:created>
  <dcterms:modified xsi:type="dcterms:W3CDTF">2025-01-31T10:16:00Z</dcterms:modified>
</cp:coreProperties>
</file>